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伊犁州特克斯县政协整体支出绩效自评报告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部门单位名称（公章）：特克斯县中国人民政治协商会议特克斯县委员会办公室</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年4月26日</w:t>
      </w:r>
    </w:p>
    <w:p>
      <w:pPr>
        <w:rPr>
          <w:rFonts w:ascii="仿宋" w:hAnsi="仿宋" w:eastAsia="仿宋"/>
        </w:rPr>
      </w:pPr>
      <w:r>
        <w:rPr>
          <w:rFonts w:hint="eastAsia" w:ascii="仿宋" w:hAnsi="仿宋" w:eastAsia="仿宋"/>
        </w:rPr>
        <w:br w:type="page"/>
      </w:r>
    </w:p>
    <w:p/>
    <w:p>
      <w:pPr>
        <w:pStyle w:val="3"/>
        <w:spacing w:line="360" w:lineRule="auto"/>
        <w:rPr>
          <w:rFonts w:ascii="仿宋" w:hAnsi="仿宋" w:eastAsia="仿宋"/>
        </w:rPr>
      </w:pPr>
      <w:bookmarkStart w:id="1" w:name="_Toc18551_WPSOffice_Level1"/>
      <w:r>
        <w:rPr>
          <w:rFonts w:hint="eastAsia" w:ascii="仿宋" w:hAnsi="仿宋" w:eastAsia="仿宋"/>
        </w:rPr>
        <w:t>一、基本概况</w:t>
      </w:r>
      <w:bookmarkEnd w:id="1"/>
    </w:p>
    <w:p>
      <w:pPr>
        <w:pStyle w:val="4"/>
        <w:spacing w:line="360" w:lineRule="auto"/>
        <w:rPr>
          <w:rStyle w:val="17"/>
          <w:rFonts w:ascii="仿宋" w:hAnsi="仿宋" w:eastAsia="仿宋"/>
          <w:b/>
          <w:bCs/>
        </w:rPr>
      </w:pPr>
      <w:bookmarkStart w:id="2" w:name="_Toc21182_WPSOffice_Level2"/>
      <w:bookmarkStart w:id="3" w:name="_Toc70450290"/>
      <w:r>
        <w:rPr>
          <w:rStyle w:val="17"/>
          <w:rFonts w:hint="eastAsia" w:ascii="仿宋" w:hAnsi="仿宋" w:eastAsia="仿宋"/>
          <w:b/>
          <w:bCs/>
        </w:rPr>
        <w:t>（一）部门单位基本情况</w:t>
      </w:r>
      <w:bookmarkEnd w:id="2"/>
      <w:bookmarkEnd w:id="3"/>
    </w:p>
    <w:p>
      <w:pPr>
        <w:pStyle w:val="5"/>
        <w:spacing w:line="360" w:lineRule="auto"/>
        <w:ind w:firstLine="643" w:firstLineChars="200"/>
        <w:rPr>
          <w:rStyle w:val="17"/>
          <w:rFonts w:ascii="仿宋" w:hAnsi="仿宋" w:eastAsia="仿宋"/>
          <w:b/>
          <w:bCs/>
          <w:sz w:val="32"/>
          <w:szCs w:val="32"/>
        </w:rPr>
      </w:pPr>
      <w:bookmarkStart w:id="4" w:name="_Toc70450291"/>
      <w:bookmarkStart w:id="5" w:name="_Toc21182_WPSOffice_Level3"/>
      <w:r>
        <w:rPr>
          <w:rStyle w:val="17"/>
          <w:rFonts w:ascii="仿宋" w:hAnsi="仿宋" w:eastAsia="仿宋"/>
          <w:b/>
          <w:bCs/>
          <w:sz w:val="32"/>
          <w:szCs w:val="32"/>
        </w:rPr>
        <w:t>1</w:t>
      </w:r>
      <w:r>
        <w:rPr>
          <w:rStyle w:val="17"/>
          <w:rFonts w:hint="eastAsia" w:ascii="仿宋" w:hAnsi="仿宋" w:eastAsia="仿宋"/>
          <w:b/>
          <w:bCs/>
          <w:sz w:val="32"/>
          <w:szCs w:val="32"/>
        </w:rPr>
        <w:t>、主要职能</w:t>
      </w:r>
      <w:bookmarkEnd w:id="4"/>
      <w:bookmarkEnd w:id="5"/>
    </w:p>
    <w:p>
      <w:pPr>
        <w:spacing w:line="360" w:lineRule="auto"/>
        <w:ind w:firstLine="544" w:firstLineChars="200"/>
        <w:rPr>
          <w:rStyle w:val="17"/>
          <w:rFonts w:hint="eastAsia" w:ascii="仿宋_GB2312" w:hAnsi="楷体" w:eastAsia="仿宋_GB2312" w:cs="Times New Roman"/>
          <w:b w:val="0"/>
          <w:bCs w:val="0"/>
          <w:spacing w:val="-4"/>
          <w:sz w:val="28"/>
          <w:szCs w:val="28"/>
        </w:rPr>
      </w:pPr>
      <w:bookmarkStart w:id="6" w:name="_Toc70450292"/>
      <w:r>
        <w:rPr>
          <w:rStyle w:val="17"/>
          <w:rFonts w:hint="eastAsia" w:ascii="仿宋_GB2312" w:hAnsi="楷体" w:eastAsia="仿宋_GB2312" w:cs="Times New Roman"/>
          <w:b w:val="0"/>
          <w:bCs w:val="0"/>
          <w:spacing w:val="-4"/>
          <w:sz w:val="28"/>
          <w:szCs w:val="28"/>
        </w:rPr>
        <w:t>（1）宣传和贯彻执行国家、法律和各项政策，推动社会各界积极参与两个文明建设。</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（2）对政府、全县国民经济各社会发展规划、县财政预算及爱国统一战线内部关系等重要事物进行政治协商、通过提建议、咨询批评等方式进行民主监督。</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（3）选举县人民政协委员会主席、副主席各常务委员。</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（4）听取和审议常务委员会等工作报告。</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（5）讨论通过有关决议。</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（6）反映各方面等意见和要求，为参加人民政协的各民主党派、人民团体、少数民族、宗教届人士、无党派人士及爱国人士参政议政开辟畅通渠道。</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（7）协助国家机关改进工作作风，提高工作效率、推进全县政治体制和经济体制改革。</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（8）协调统一战线各方面等关系，维持安定团结和健康有序的社会秩序。</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（9）宣传贯彻统一祖国的方针、政策、加强同港澳、台同胞的关系和团结，促进祖国统一大业早日实现。</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（10）协助有关部门贯彻党和国家知识分子政策，充分发挥知识分子在两个文明建设中的作用。</w:t>
      </w:r>
    </w:p>
    <w:p>
      <w:pPr>
        <w:spacing w:line="360" w:lineRule="auto"/>
        <w:ind w:firstLine="544" w:firstLineChars="200"/>
        <w:rPr>
          <w:rStyle w:val="17"/>
          <w:rFonts w:hint="eastAsia" w:ascii="仿宋_GB2312" w:hAnsi="楷体" w:eastAsia="仿宋_GB2312" w:cs="Times New Roman"/>
          <w:b w:val="0"/>
          <w:bCs w:val="0"/>
          <w:spacing w:val="-4"/>
          <w:sz w:val="28"/>
          <w:szCs w:val="28"/>
          <w:lang w:eastAsia="zh-CN"/>
        </w:rPr>
      </w:pPr>
      <w:r>
        <w:rPr>
          <w:rStyle w:val="17"/>
          <w:rFonts w:hint="eastAsia" w:ascii="仿宋_GB2312" w:hAnsi="楷体" w:eastAsia="仿宋_GB2312" w:cs="Times New Roman"/>
          <w:b w:val="0"/>
          <w:bCs w:val="0"/>
          <w:spacing w:val="-4"/>
          <w:sz w:val="28"/>
          <w:szCs w:val="28"/>
        </w:rPr>
        <w:t>（11）宣传贯彻执行党和国家的民族宗教政策，团结宗教界爱国人士和宗教信仰者参加社会主义现代化建设事业</w:t>
      </w:r>
      <w:r>
        <w:rPr>
          <w:rStyle w:val="17"/>
          <w:rFonts w:hint="eastAsia" w:ascii="仿宋_GB2312" w:hAnsi="楷体" w:eastAsia="仿宋_GB2312" w:cs="Times New Roman"/>
          <w:b w:val="0"/>
          <w:bCs w:val="0"/>
          <w:spacing w:val="-4"/>
          <w:sz w:val="28"/>
          <w:szCs w:val="28"/>
          <w:lang w:eastAsia="zh-CN"/>
        </w:rPr>
        <w:t>。</w:t>
      </w:r>
    </w:p>
    <w:p>
      <w:pPr>
        <w:spacing w:line="360" w:lineRule="auto"/>
        <w:ind w:firstLine="643" w:firstLineChars="200"/>
        <w:rPr>
          <w:rStyle w:val="17"/>
          <w:rFonts w:ascii="仿宋" w:hAnsi="仿宋" w:eastAsia="仿宋"/>
          <w:sz w:val="32"/>
          <w:szCs w:val="32"/>
        </w:rPr>
      </w:pPr>
      <w:bookmarkStart w:id="7" w:name="_Toc4588_WPSOffice_Level3"/>
      <w:r>
        <w:rPr>
          <w:rStyle w:val="17"/>
          <w:rFonts w:hint="eastAsia" w:ascii="仿宋" w:hAnsi="仿宋" w:eastAsia="仿宋"/>
          <w:sz w:val="32"/>
          <w:szCs w:val="32"/>
        </w:rPr>
        <w:t>2、机构人员构成</w:t>
      </w:r>
      <w:bookmarkEnd w:id="6"/>
      <w:bookmarkEnd w:id="7"/>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（1）组织机构设置：</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中国人民政治协商会议特克斯县委员会办公室无下属预算单位，下设5个处室，分别是：政协办公室；政协学习提案法治委员会；政协民族宗教文史委员会；政协经济环境人口委员会；政协科教文卫人事委员会。</w:t>
      </w:r>
      <w:bookmarkStart w:id="8" w:name="_Toc70450293"/>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2021年中国人民政治协商会议特克斯县委员会办公室实有在职人员为15人；其中：</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行政在职15人（上年15人），与上年一致；</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实有离休人员0人（上年0人）与上年一致；</w:t>
      </w:r>
    </w:p>
    <w:p>
      <w:pPr>
        <w:spacing w:line="360" w:lineRule="auto"/>
        <w:ind w:firstLine="544" w:firstLineChars="200"/>
        <w:rPr>
          <w:rStyle w:val="17"/>
          <w:rFonts w:hint="eastAsia" w:ascii="仿宋_GB2312" w:hAnsi="楷体" w:eastAsia="仿宋_GB2312" w:cs="Times New Roman"/>
          <w:b w:val="0"/>
          <w:bCs w:val="0"/>
          <w:spacing w:val="-4"/>
          <w:sz w:val="28"/>
          <w:szCs w:val="28"/>
          <w:lang w:eastAsia="zh-CN"/>
        </w:rPr>
      </w:pPr>
      <w:r>
        <w:rPr>
          <w:rStyle w:val="17"/>
          <w:rFonts w:hint="eastAsia" w:ascii="仿宋_GB2312" w:hAnsi="楷体" w:eastAsia="仿宋_GB2312" w:cs="Times New Roman"/>
          <w:b w:val="0"/>
          <w:bCs w:val="0"/>
          <w:spacing w:val="-4"/>
          <w:sz w:val="28"/>
          <w:szCs w:val="28"/>
        </w:rPr>
        <w:t>实有退休人员33人（上年33人） 与上年一致</w:t>
      </w:r>
      <w:r>
        <w:rPr>
          <w:rStyle w:val="17"/>
          <w:rFonts w:hint="eastAsia" w:ascii="仿宋_GB2312" w:hAnsi="楷体" w:eastAsia="仿宋_GB2312" w:cs="Times New Roman"/>
          <w:b w:val="0"/>
          <w:bCs w:val="0"/>
          <w:spacing w:val="-4"/>
          <w:sz w:val="28"/>
          <w:szCs w:val="28"/>
          <w:lang w:eastAsia="zh-CN"/>
        </w:rPr>
        <w:t>。</w:t>
      </w:r>
    </w:p>
    <w:p>
      <w:pPr>
        <w:spacing w:line="360" w:lineRule="auto"/>
        <w:ind w:firstLine="640" w:firstLineChars="200"/>
        <w:rPr>
          <w:rFonts w:ascii="仿宋_GB2312" w:hAnsi="仿宋_GB2312" w:eastAsia="仿宋_GB2312" w:cs="仿宋_GB2312"/>
          <w:kern w:val="1"/>
          <w:sz w:val="32"/>
          <w:szCs w:val="32"/>
        </w:rPr>
      </w:pPr>
    </w:p>
    <w:p>
      <w:pPr>
        <w:pStyle w:val="5"/>
        <w:spacing w:line="360" w:lineRule="auto"/>
        <w:ind w:firstLine="562" w:firstLineChars="200"/>
        <w:rPr>
          <w:rStyle w:val="17"/>
          <w:rFonts w:ascii="仿宋" w:hAnsi="仿宋" w:eastAsia="仿宋" w:cstheme="minorBidi"/>
          <w:b/>
          <w:bCs/>
        </w:rPr>
      </w:pPr>
      <w:bookmarkStart w:id="9" w:name="_Toc16500_WPSOffice_Level3"/>
      <w:r>
        <w:rPr>
          <w:rStyle w:val="17"/>
          <w:rFonts w:ascii="仿宋" w:hAnsi="仿宋" w:eastAsia="仿宋" w:cstheme="minorBidi"/>
          <w:b/>
          <w:bCs/>
        </w:rPr>
        <w:t>3</w:t>
      </w:r>
      <w:r>
        <w:rPr>
          <w:rStyle w:val="17"/>
          <w:rFonts w:hint="eastAsia" w:ascii="仿宋" w:hAnsi="仿宋" w:eastAsia="仿宋" w:cstheme="minorBidi"/>
          <w:b/>
          <w:bCs/>
        </w:rPr>
        <w:t>、重点工作计划</w:t>
      </w:r>
      <w:bookmarkEnd w:id="8"/>
      <w:bookmarkEnd w:id="9"/>
      <w:bookmarkStart w:id="10" w:name="_Toc70450294"/>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目标1：安排委员进行大会发言、小组讨论、专题议政。目标2：组织委员列席政协常委会议，参加政协的调研、视察、学习考察、提案督办。目标3：扩展委员与常委会、专门委员会工作渠道。目标4：组织政协委员开展脱贫攻坚、经济社会发展情况的调研、政协业务发展的调研。目标5：做好县委、县政府安排的重点的联电工作。</w:t>
      </w:r>
    </w:p>
    <w:p>
      <w:pPr>
        <w:pStyle w:val="4"/>
        <w:spacing w:line="360" w:lineRule="auto"/>
        <w:rPr>
          <w:rStyle w:val="17"/>
          <w:rFonts w:ascii="仿宋" w:hAnsi="仿宋" w:eastAsia="仿宋"/>
          <w:b/>
          <w:bCs/>
        </w:rPr>
      </w:pPr>
      <w:bookmarkStart w:id="11" w:name="_Toc4588_WPSOffice_Level2"/>
      <w:r>
        <w:rPr>
          <w:rStyle w:val="17"/>
          <w:rFonts w:hint="eastAsia" w:ascii="仿宋" w:hAnsi="仿宋" w:eastAsia="仿宋"/>
          <w:b/>
          <w:bCs/>
        </w:rPr>
        <w:t>（二）部门单位整体支出规模、</w:t>
      </w:r>
      <w:bookmarkStart w:id="12" w:name="_Hlk70339807"/>
      <w:r>
        <w:rPr>
          <w:rStyle w:val="17"/>
          <w:rFonts w:hint="eastAsia" w:ascii="仿宋" w:hAnsi="仿宋" w:eastAsia="仿宋"/>
          <w:b/>
          <w:bCs/>
        </w:rPr>
        <w:t>使用方法和主要内容、涉及对象及范围等</w:t>
      </w:r>
      <w:bookmarkEnd w:id="10"/>
      <w:bookmarkEnd w:id="11"/>
    </w:p>
    <w:bookmarkEnd w:id="12"/>
    <w:p>
      <w:pPr>
        <w:pStyle w:val="5"/>
        <w:spacing w:line="360" w:lineRule="auto"/>
        <w:ind w:firstLine="643" w:firstLineChars="200"/>
        <w:rPr>
          <w:rStyle w:val="17"/>
          <w:rFonts w:ascii="仿宋" w:hAnsi="仿宋" w:eastAsia="仿宋"/>
          <w:b/>
          <w:bCs/>
          <w:sz w:val="32"/>
          <w:szCs w:val="32"/>
        </w:rPr>
      </w:pPr>
      <w:bookmarkStart w:id="13" w:name="_Toc1111_WPSOffice_Level3"/>
      <w:bookmarkStart w:id="14" w:name="_Toc70450295"/>
      <w:r>
        <w:rPr>
          <w:rStyle w:val="17"/>
          <w:rFonts w:hint="eastAsia" w:ascii="仿宋" w:hAnsi="仿宋" w:eastAsia="仿宋"/>
          <w:b/>
          <w:bCs/>
          <w:sz w:val="32"/>
          <w:szCs w:val="32"/>
        </w:rPr>
        <w:t>1、部门单位整体支出规模</w:t>
      </w:r>
      <w:bookmarkEnd w:id="13"/>
      <w:bookmarkEnd w:id="14"/>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2021年批复我单位预算为297.65万元，其中：财政拨款为297.65万元。年中追加</w:t>
      </w:r>
      <w:r>
        <w:rPr>
          <w:rStyle w:val="17"/>
          <w:rFonts w:hint="eastAsia" w:ascii="仿宋_GB2312" w:hAnsi="楷体" w:eastAsia="仿宋_GB2312" w:cs="Times New Roman"/>
          <w:b w:val="0"/>
          <w:bCs w:val="0"/>
          <w:spacing w:val="-4"/>
          <w:sz w:val="28"/>
          <w:szCs w:val="28"/>
          <w:lang w:val="en-US" w:eastAsia="zh-CN"/>
        </w:rPr>
        <w:t>70.36</w:t>
      </w:r>
      <w:r>
        <w:rPr>
          <w:rStyle w:val="17"/>
          <w:rFonts w:hint="eastAsia" w:ascii="仿宋_GB2312" w:hAnsi="楷体" w:eastAsia="仿宋_GB2312" w:cs="Times New Roman"/>
          <w:b w:val="0"/>
          <w:bCs w:val="0"/>
          <w:spacing w:val="-4"/>
          <w:sz w:val="28"/>
          <w:szCs w:val="28"/>
        </w:rPr>
        <w:t>万元，调整率</w:t>
      </w:r>
      <w:r>
        <w:rPr>
          <w:rStyle w:val="17"/>
          <w:rFonts w:hint="eastAsia" w:ascii="仿宋_GB2312" w:hAnsi="楷体" w:eastAsia="仿宋_GB2312" w:cs="Times New Roman"/>
          <w:b w:val="0"/>
          <w:bCs w:val="0"/>
          <w:spacing w:val="-4"/>
          <w:sz w:val="28"/>
          <w:szCs w:val="28"/>
          <w:lang w:val="en-US" w:eastAsia="zh-CN"/>
        </w:rPr>
        <w:t>30.96</w:t>
      </w:r>
      <w:r>
        <w:rPr>
          <w:rStyle w:val="17"/>
          <w:rFonts w:hint="eastAsia" w:ascii="仿宋_GB2312" w:hAnsi="楷体" w:eastAsia="仿宋_GB2312" w:cs="Times New Roman"/>
          <w:b w:val="0"/>
          <w:bCs w:val="0"/>
          <w:spacing w:val="-4"/>
          <w:sz w:val="28"/>
          <w:szCs w:val="28"/>
        </w:rPr>
        <w:t>%。对比上年296.87万元增加0.78万元，上升0.26%。</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2021年实际决算支出297.65万元，执行率100%，其中：</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1）基本支出292.65万元，占总支出的98.32％，主要用于本单位机构正常运转、完成日常工作任务而发生的各项支出。其中：工资福利支出262.16万元，主要用于在职和离退休人员基本工资、津贴补贴等人员经费。商品和服务支出</w:t>
      </w:r>
      <w:r>
        <w:rPr>
          <w:rStyle w:val="17"/>
          <w:rFonts w:hint="eastAsia" w:ascii="仿宋_GB2312" w:hAnsi="楷体" w:eastAsia="仿宋_GB2312" w:cs="Times New Roman"/>
          <w:b w:val="0"/>
          <w:bCs w:val="0"/>
          <w:spacing w:val="-4"/>
          <w:sz w:val="28"/>
          <w:szCs w:val="28"/>
          <w:lang w:val="en-US" w:eastAsia="zh-CN"/>
        </w:rPr>
        <w:t>25</w:t>
      </w:r>
      <w:r>
        <w:rPr>
          <w:rStyle w:val="17"/>
          <w:rFonts w:hint="eastAsia" w:ascii="仿宋_GB2312" w:hAnsi="楷体" w:eastAsia="仿宋_GB2312" w:cs="Times New Roman"/>
          <w:b w:val="0"/>
          <w:bCs w:val="0"/>
          <w:spacing w:val="-4"/>
          <w:sz w:val="28"/>
          <w:szCs w:val="28"/>
        </w:rPr>
        <w:t>.60万元，主要用于办公费、印刷费、水电费、办公设备购置等。对个人和家庭的补助4.89万元，主要用于生活补助。</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（2）项目支出5万元，占总支出的1.68％。其中：政协基层补助项目安排5万元，主要用于完成政协基层补助。</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（3）本年度重点项目支出0万元，重点支出保障率0%。其中重点保障项目是政协基层补助项目。</w:t>
      </w:r>
    </w:p>
    <w:p>
      <w:pPr>
        <w:spacing w:line="360" w:lineRule="auto"/>
        <w:ind w:firstLine="544" w:firstLineChars="200"/>
        <w:rPr>
          <w:rStyle w:val="17"/>
          <w:rFonts w:hint="eastAsia" w:ascii="仿宋_GB2312" w:hAnsi="楷体" w:eastAsia="仿宋_GB2312" w:cs="Times New Roman"/>
          <w:b w:val="0"/>
          <w:bCs w:val="0"/>
          <w:spacing w:val="-4"/>
          <w:sz w:val="28"/>
          <w:szCs w:val="28"/>
          <w:lang w:eastAsia="zh-CN"/>
        </w:rPr>
      </w:pPr>
      <w:r>
        <w:rPr>
          <w:rStyle w:val="17"/>
          <w:rFonts w:hint="eastAsia" w:ascii="仿宋_GB2312" w:hAnsi="楷体" w:eastAsia="仿宋_GB2312" w:cs="Times New Roman"/>
          <w:b w:val="0"/>
          <w:bCs w:val="0"/>
          <w:spacing w:val="-4"/>
          <w:sz w:val="28"/>
          <w:szCs w:val="28"/>
        </w:rPr>
        <w:t>（4）本年度我单位无政府采购预算</w:t>
      </w:r>
      <w:r>
        <w:rPr>
          <w:rStyle w:val="17"/>
          <w:rFonts w:hint="eastAsia" w:ascii="仿宋_GB2312" w:hAnsi="楷体" w:eastAsia="仿宋_GB2312" w:cs="Times New Roman"/>
          <w:b w:val="0"/>
          <w:bCs w:val="0"/>
          <w:spacing w:val="-4"/>
          <w:sz w:val="28"/>
          <w:szCs w:val="28"/>
          <w:lang w:eastAsia="zh-CN"/>
        </w:rPr>
        <w:t>。</w:t>
      </w:r>
    </w:p>
    <w:p>
      <w:pPr>
        <w:pStyle w:val="5"/>
        <w:spacing w:line="360" w:lineRule="auto"/>
        <w:ind w:firstLine="643" w:firstLineChars="200"/>
        <w:rPr>
          <w:rStyle w:val="17"/>
          <w:rFonts w:ascii="仿宋" w:hAnsi="仿宋" w:eastAsia="仿宋"/>
          <w:b/>
          <w:bCs/>
          <w:sz w:val="32"/>
          <w:szCs w:val="32"/>
        </w:rPr>
      </w:pPr>
      <w:bookmarkStart w:id="15" w:name="_Toc70450296"/>
      <w:bookmarkStart w:id="16" w:name="_Toc20264_WPSOffice_Level3"/>
      <w:r>
        <w:rPr>
          <w:rStyle w:val="17"/>
          <w:rFonts w:ascii="仿宋" w:hAnsi="仿宋" w:eastAsia="仿宋"/>
          <w:b/>
          <w:bCs/>
          <w:sz w:val="32"/>
          <w:szCs w:val="32"/>
        </w:rPr>
        <w:t>2</w:t>
      </w:r>
      <w:r>
        <w:rPr>
          <w:rStyle w:val="17"/>
          <w:rFonts w:hint="eastAsia" w:ascii="仿宋" w:hAnsi="仿宋" w:eastAsia="仿宋"/>
          <w:b/>
          <w:bCs/>
          <w:sz w:val="32"/>
          <w:szCs w:val="32"/>
        </w:rPr>
        <w:t>、整体支出评价使用方法和主要内容、涉及对象及范围等</w:t>
      </w:r>
      <w:bookmarkEnd w:id="15"/>
      <w:bookmarkEnd w:id="16"/>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（1）整体支出评价使用方法</w:t>
      </w:r>
    </w:p>
    <w:p>
      <w:pPr>
        <w:spacing w:line="360" w:lineRule="auto"/>
        <w:ind w:firstLine="544" w:firstLineChars="200"/>
        <w:rPr>
          <w:rStyle w:val="17"/>
          <w:rFonts w:hint="eastAsia" w:ascii="仿宋_GB2312" w:hAnsi="楷体" w:eastAsia="仿宋_GB2312" w:cs="Times New Roman"/>
          <w:b w:val="0"/>
          <w:bCs w:val="0"/>
          <w:spacing w:val="-4"/>
          <w:sz w:val="28"/>
          <w:szCs w:val="28"/>
        </w:rPr>
      </w:pPr>
      <w:r>
        <w:rPr>
          <w:rStyle w:val="17"/>
          <w:rFonts w:hint="eastAsia" w:ascii="仿宋_GB2312" w:hAnsi="楷体" w:eastAsia="仿宋_GB2312" w:cs="Times New Roman"/>
          <w:b w:val="0"/>
          <w:bCs w:val="0"/>
          <w:spacing w:val="-4"/>
          <w:sz w:val="28"/>
          <w:szCs w:val="28"/>
        </w:rPr>
        <w:t>本次单位整体支出绩效自评采用因素分析方法，原因是：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7"/>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（3）整体支出评价涉及对象及范围</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涉及对象：</w:t>
      </w:r>
      <w:r>
        <w:rPr>
          <w:rFonts w:hint="eastAsia" w:ascii="仿宋_GB2312" w:eastAsia="仿宋_GB2312"/>
          <w:sz w:val="28"/>
          <w:szCs w:val="36"/>
        </w:rPr>
        <w:t>本次评价对象是中国人民政治协商会议特克斯县委员会办公室所有财政资金支出活动。</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整体支出评价范围：</w:t>
      </w:r>
    </w:p>
    <w:p>
      <w:pPr>
        <w:spacing w:line="360" w:lineRule="auto"/>
        <w:ind w:firstLine="544" w:firstLineChars="200"/>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1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①</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基本支出292.65万元，其中：工资福利支出、商品和服务支出、对个人和家庭的补助支出。</w:t>
      </w:r>
    </w:p>
    <w:p>
      <w:pPr>
        <w:spacing w:line="360" w:lineRule="auto"/>
        <w:ind w:firstLine="492" w:firstLineChars="181"/>
        <w:rPr>
          <w:rStyle w:val="17"/>
          <w:rFonts w:hint="default" w:ascii="仿宋_GB2312" w:hAnsi="楷体" w:eastAsia="仿宋_GB2312" w:cs="Times New Roman"/>
          <w:b w:val="0"/>
          <w:spacing w:val="-4"/>
          <w:sz w:val="28"/>
          <w:szCs w:val="28"/>
          <w:lang w:val="en-US" w:eastAsia="zh-CN"/>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2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②</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项目支出5万元：</w:t>
      </w:r>
      <w:r>
        <w:rPr>
          <w:rStyle w:val="17"/>
          <w:rFonts w:hint="eastAsia" w:ascii="仿宋_GB2312" w:hAnsi="楷体" w:eastAsia="仿宋_GB2312" w:cs="Times New Roman"/>
          <w:b w:val="0"/>
          <w:spacing w:val="-4"/>
          <w:sz w:val="28"/>
          <w:szCs w:val="28"/>
        </w:rPr>
        <w:t>政协基层补助</w:t>
      </w:r>
      <w:r>
        <w:rPr>
          <w:rStyle w:val="17"/>
          <w:rFonts w:hint="eastAsia" w:ascii="仿宋_GB2312" w:hAnsi="楷体" w:eastAsia="仿宋_GB2312" w:cs="Times New Roman"/>
          <w:b w:val="0"/>
          <w:spacing w:val="-4"/>
          <w:sz w:val="28"/>
          <w:szCs w:val="28"/>
          <w:lang w:val="en-US" w:eastAsia="zh-CN"/>
        </w:rPr>
        <w:t>资金项目。</w:t>
      </w:r>
    </w:p>
    <w:p>
      <w:pPr>
        <w:pStyle w:val="3"/>
        <w:spacing w:line="360" w:lineRule="auto"/>
        <w:rPr>
          <w:rFonts w:ascii="仿宋" w:hAnsi="仿宋" w:eastAsia="仿宋"/>
          <w:sz w:val="36"/>
          <w:szCs w:val="36"/>
        </w:rPr>
      </w:pPr>
      <w:bookmarkStart w:id="17" w:name="_Toc21182_WPSOffice_Level1"/>
      <w:bookmarkStart w:id="18" w:name="_Toc70450297"/>
      <w:r>
        <w:rPr>
          <w:rFonts w:hint="eastAsia" w:ascii="仿宋" w:hAnsi="仿宋" w:eastAsia="仿宋"/>
          <w:sz w:val="36"/>
          <w:szCs w:val="36"/>
        </w:rPr>
        <w:t>二、部门单位整体支出管理及使用情况</w:t>
      </w:r>
      <w:bookmarkEnd w:id="17"/>
      <w:bookmarkEnd w:id="18"/>
    </w:p>
    <w:p>
      <w:pPr>
        <w:pStyle w:val="4"/>
        <w:spacing w:line="360" w:lineRule="auto"/>
        <w:rPr>
          <w:rStyle w:val="17"/>
          <w:rFonts w:ascii="仿宋" w:hAnsi="仿宋" w:eastAsia="仿宋"/>
          <w:b/>
          <w:bCs/>
        </w:rPr>
      </w:pPr>
      <w:bookmarkStart w:id="19" w:name="_Toc16500_WPSOffice_Level2"/>
      <w:bookmarkStart w:id="20" w:name="_Toc70450298"/>
      <w:r>
        <w:rPr>
          <w:rStyle w:val="17"/>
          <w:rFonts w:hint="eastAsia" w:ascii="仿宋" w:hAnsi="仿宋" w:eastAsia="仿宋"/>
          <w:b/>
          <w:bCs/>
        </w:rPr>
        <w:t>（一）预算管理</w:t>
      </w:r>
      <w:bookmarkEnd w:id="19"/>
      <w:bookmarkEnd w:id="20"/>
    </w:p>
    <w:p>
      <w:pPr>
        <w:pStyle w:val="5"/>
        <w:spacing w:line="360" w:lineRule="auto"/>
        <w:ind w:firstLine="562" w:firstLineChars="200"/>
        <w:rPr>
          <w:rStyle w:val="17"/>
          <w:rFonts w:ascii="仿宋" w:hAnsi="仿宋" w:eastAsia="仿宋"/>
          <w:b/>
          <w:bCs/>
        </w:rPr>
      </w:pPr>
      <w:bookmarkStart w:id="21" w:name="_Toc70450299"/>
      <w:bookmarkStart w:id="22" w:name="_Toc23671_WPSOffice_Level3"/>
      <w:r>
        <w:rPr>
          <w:rStyle w:val="17"/>
          <w:rFonts w:ascii="仿宋" w:hAnsi="仿宋" w:eastAsia="仿宋"/>
          <w:b/>
          <w:bCs/>
        </w:rPr>
        <w:t>1</w:t>
      </w:r>
      <w:r>
        <w:rPr>
          <w:rStyle w:val="17"/>
          <w:rFonts w:hint="eastAsia" w:ascii="仿宋" w:hAnsi="仿宋" w:eastAsia="仿宋"/>
          <w:b/>
          <w:bCs/>
        </w:rPr>
        <w:t>、预算编制管理</w:t>
      </w:r>
      <w:bookmarkEnd w:id="21"/>
      <w:bookmarkEnd w:id="22"/>
    </w:p>
    <w:p>
      <w:pPr>
        <w:spacing w:line="360" w:lineRule="auto"/>
        <w:ind w:firstLine="506" w:firstLineChars="181"/>
        <w:rPr>
          <w:rFonts w:ascii="仿宋_GB2312" w:eastAsia="仿宋_GB2312"/>
          <w:sz w:val="28"/>
          <w:szCs w:val="36"/>
          <w:lang w:val="zh-CN"/>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特克斯县财政局要求，部门预算及绩效目标在特克斯县人民政府网站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7"/>
          <w:rFonts w:ascii="仿宋" w:hAnsi="仿宋" w:eastAsia="仿宋"/>
          <w:b/>
          <w:bCs/>
        </w:rPr>
      </w:pPr>
      <w:bookmarkStart w:id="23" w:name="_Toc6072_WPSOffice_Level3"/>
      <w:bookmarkStart w:id="24" w:name="_Toc70450300"/>
      <w:r>
        <w:rPr>
          <w:rStyle w:val="17"/>
          <w:rFonts w:hint="eastAsia" w:ascii="仿宋" w:hAnsi="仿宋" w:eastAsia="仿宋"/>
          <w:b/>
          <w:bCs/>
        </w:rPr>
        <w:t>2</w:t>
      </w:r>
      <w:r>
        <w:rPr>
          <w:rStyle w:val="17"/>
          <w:rFonts w:ascii="仿宋" w:hAnsi="仿宋" w:eastAsia="仿宋"/>
          <w:b/>
          <w:bCs/>
        </w:rPr>
        <w:t>、预算</w:t>
      </w:r>
      <w:r>
        <w:rPr>
          <w:rStyle w:val="17"/>
          <w:rFonts w:hint="eastAsia" w:ascii="仿宋" w:hAnsi="仿宋" w:eastAsia="仿宋"/>
          <w:b/>
          <w:bCs/>
        </w:rPr>
        <w:t>支出</w:t>
      </w:r>
      <w:r>
        <w:rPr>
          <w:rStyle w:val="17"/>
          <w:rFonts w:ascii="仿宋" w:hAnsi="仿宋" w:eastAsia="仿宋"/>
          <w:b/>
          <w:bCs/>
        </w:rPr>
        <w:t>管理</w:t>
      </w:r>
      <w:bookmarkEnd w:id="23"/>
      <w:bookmarkEnd w:id="24"/>
    </w:p>
    <w:p>
      <w:pPr>
        <w:spacing w:line="360" w:lineRule="auto"/>
        <w:ind w:firstLine="560" w:firstLineChars="200"/>
        <w:rPr>
          <w:rStyle w:val="17"/>
          <w:b w:val="0"/>
          <w:bCs w:val="0"/>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我单位按照财政要求基本支出分月度申报资金使用计划，由财政部门按照进度每月按期拨付，人员支出按照工资计划发放工资；依照中国人民政治协商会议特克斯县委员会办公室《</w:t>
      </w:r>
      <w:r>
        <w:rPr>
          <w:rFonts w:ascii="仿宋_GB2312" w:eastAsia="仿宋_GB2312"/>
          <w:sz w:val="28"/>
          <w:szCs w:val="36"/>
        </w:rPr>
        <w:t>预算</w:t>
      </w:r>
      <w:r>
        <w:rPr>
          <w:rFonts w:hint="eastAsia" w:ascii="仿宋_GB2312" w:eastAsia="仿宋_GB2312"/>
          <w:sz w:val="28"/>
          <w:szCs w:val="36"/>
        </w:rPr>
        <w:t>支出</w:t>
      </w:r>
      <w:r>
        <w:rPr>
          <w:rFonts w:ascii="仿宋_GB2312" w:eastAsia="仿宋_GB2312"/>
          <w:sz w:val="28"/>
          <w:szCs w:val="36"/>
        </w:rPr>
        <w:t>管理</w:t>
      </w:r>
      <w:r>
        <w:rPr>
          <w:rFonts w:hint="eastAsia" w:ascii="仿宋_GB2312" w:eastAsia="仿宋_GB2312"/>
          <w:sz w:val="28"/>
          <w:szCs w:val="36"/>
        </w:rPr>
        <w:t>》相关规定和中国人民政治协商会议特克斯县委员会办公室《预算业务流程》预算规定流程，资金支出按照我内控体系中设定的流程申报审批进行；项目支出属于政府采购的，按照预算管理支出管理《中国人民政治协商会议特克斯县委员会办公室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7"/>
          <w:b/>
          <w:bCs/>
          <w:sz w:val="28"/>
          <w:szCs w:val="28"/>
        </w:rPr>
      </w:pPr>
      <w:bookmarkStart w:id="25" w:name="_Toc1111_WPSOffice_Level2"/>
      <w:bookmarkStart w:id="26" w:name="_Toc70450301"/>
      <w:r>
        <w:rPr>
          <w:rStyle w:val="17"/>
          <w:rFonts w:hint="eastAsia"/>
          <w:b/>
          <w:bCs/>
          <w:sz w:val="28"/>
          <w:szCs w:val="28"/>
        </w:rPr>
        <w:t>（二）基本支出管理及使用情况</w:t>
      </w:r>
      <w:bookmarkEnd w:id="25"/>
      <w:bookmarkEnd w:id="26"/>
    </w:p>
    <w:p>
      <w:pPr>
        <w:spacing w:line="360" w:lineRule="auto"/>
        <w:ind w:firstLine="506" w:firstLineChars="181"/>
        <w:rPr>
          <w:rStyle w:val="17"/>
          <w:rFonts w:ascii="仿宋_GB2312" w:hAnsi="楷体" w:eastAsia="仿宋_GB2312"/>
          <w:b w:val="0"/>
          <w:spacing w:val="-4"/>
          <w:sz w:val="28"/>
          <w:szCs w:val="28"/>
        </w:rPr>
      </w:pPr>
      <w:r>
        <w:rPr>
          <w:rFonts w:hint="eastAsia" w:ascii="仿宋_GB2312" w:eastAsia="仿宋_GB2312"/>
          <w:sz w:val="28"/>
          <w:szCs w:val="36"/>
        </w:rPr>
        <w:t>2021年基本支出预算安排29</w:t>
      </w:r>
      <w:r>
        <w:rPr>
          <w:rFonts w:hint="eastAsia" w:ascii="仿宋_GB2312" w:eastAsia="仿宋_GB2312"/>
          <w:sz w:val="28"/>
          <w:szCs w:val="36"/>
          <w:lang w:val="en-US" w:eastAsia="zh-CN"/>
        </w:rPr>
        <w:t>2</w:t>
      </w:r>
      <w:r>
        <w:rPr>
          <w:rFonts w:hint="eastAsia" w:ascii="仿宋_GB2312" w:eastAsia="仿宋_GB2312"/>
          <w:sz w:val="28"/>
          <w:szCs w:val="36"/>
        </w:rPr>
        <w:t>.65万元，实际到位29</w:t>
      </w:r>
      <w:r>
        <w:rPr>
          <w:rFonts w:hint="eastAsia" w:ascii="仿宋_GB2312" w:eastAsia="仿宋_GB2312"/>
          <w:sz w:val="28"/>
          <w:szCs w:val="36"/>
          <w:lang w:val="en-US" w:eastAsia="zh-CN"/>
        </w:rPr>
        <w:t>2</w:t>
      </w:r>
      <w:r>
        <w:rPr>
          <w:rFonts w:hint="eastAsia" w:ascii="仿宋_GB2312" w:eastAsia="仿宋_GB2312"/>
          <w:sz w:val="28"/>
          <w:szCs w:val="36"/>
        </w:rPr>
        <w:t>.65万元,实际支出29</w:t>
      </w:r>
      <w:r>
        <w:rPr>
          <w:rFonts w:hint="eastAsia" w:ascii="仿宋_GB2312" w:eastAsia="仿宋_GB2312"/>
          <w:sz w:val="28"/>
          <w:szCs w:val="36"/>
          <w:lang w:val="en-US" w:eastAsia="zh-CN"/>
        </w:rPr>
        <w:t>2</w:t>
      </w:r>
      <w:r>
        <w:rPr>
          <w:rFonts w:hint="eastAsia" w:ascii="仿宋_GB2312" w:eastAsia="仿宋_GB2312"/>
          <w:sz w:val="28"/>
          <w:szCs w:val="36"/>
        </w:rPr>
        <w:t>.65万元，占总支出的</w:t>
      </w:r>
      <w:r>
        <w:rPr>
          <w:rFonts w:hint="eastAsia" w:ascii="仿宋_GB2312" w:eastAsia="仿宋_GB2312"/>
          <w:sz w:val="28"/>
          <w:szCs w:val="36"/>
          <w:lang w:val="en-US" w:eastAsia="zh-CN"/>
        </w:rPr>
        <w:t>98.32</w:t>
      </w:r>
      <w:r>
        <w:rPr>
          <w:rFonts w:hint="eastAsia" w:ascii="仿宋_GB2312" w:eastAsia="仿宋_GB2312"/>
          <w:sz w:val="28"/>
          <w:szCs w:val="36"/>
        </w:rPr>
        <w:t>％，其中：工资福利支出262.16万元、商品和服务支出</w:t>
      </w:r>
      <w:r>
        <w:rPr>
          <w:rFonts w:hint="eastAsia" w:ascii="仿宋_GB2312" w:eastAsia="仿宋_GB2312"/>
          <w:sz w:val="28"/>
          <w:szCs w:val="36"/>
          <w:lang w:val="en-US" w:eastAsia="zh-CN"/>
        </w:rPr>
        <w:t>25</w:t>
      </w:r>
      <w:r>
        <w:rPr>
          <w:rFonts w:hint="eastAsia" w:ascii="仿宋_GB2312" w:eastAsia="仿宋_GB2312"/>
          <w:sz w:val="28"/>
          <w:szCs w:val="36"/>
        </w:rPr>
        <w:t>.60万元、对个人和家庭的补助4.89 万元、主要用于生活补助。资本性支出 0万元。</w:t>
      </w:r>
    </w:p>
    <w:p>
      <w:pPr>
        <w:spacing w:line="360" w:lineRule="auto"/>
        <w:ind w:firstLine="506" w:firstLineChars="181"/>
        <w:rPr>
          <w:rFonts w:hint="eastAsia" w:ascii="仿宋_GB2312" w:eastAsia="仿宋_GB2312"/>
          <w:sz w:val="28"/>
          <w:szCs w:val="36"/>
        </w:rPr>
      </w:pPr>
      <w:r>
        <w:rPr>
          <w:rFonts w:hint="eastAsia" w:ascii="仿宋_GB2312" w:eastAsia="仿宋_GB2312"/>
          <w:sz w:val="28"/>
          <w:szCs w:val="36"/>
        </w:rPr>
        <w:t>2021年基本支出比上年296.87万元, 增加0.78万元，上升0.26%。</w:t>
      </w:r>
    </w:p>
    <w:p>
      <w:pPr>
        <w:spacing w:line="360" w:lineRule="auto"/>
        <w:ind w:firstLine="506" w:firstLineChars="181"/>
        <w:rPr>
          <w:rFonts w:hint="eastAsia" w:ascii="仿宋_GB2312" w:eastAsia="仿宋_GB2312"/>
          <w:sz w:val="28"/>
          <w:szCs w:val="36"/>
        </w:rPr>
      </w:pPr>
      <w:r>
        <w:rPr>
          <w:rFonts w:hint="eastAsia" w:ascii="仿宋_GB2312" w:eastAsia="仿宋_GB2312"/>
          <w:sz w:val="28"/>
          <w:szCs w:val="36"/>
        </w:rPr>
        <w:t>2021年一般公共预算“三公”经费数为8.45万元，其中：因公出国（境）费0万元，公务用车购置0万元，公务用车运行费8.45万元，公务接待费0万元。</w:t>
      </w:r>
    </w:p>
    <w:p>
      <w:pPr>
        <w:spacing w:line="360" w:lineRule="auto"/>
        <w:ind w:firstLine="506" w:firstLineChars="181"/>
        <w:rPr>
          <w:rStyle w:val="17"/>
          <w:rFonts w:ascii="仿宋_GB2312" w:hAnsi="楷体" w:eastAsia="仿宋_GB2312"/>
          <w:b w:val="0"/>
          <w:spacing w:val="-4"/>
          <w:sz w:val="28"/>
          <w:szCs w:val="28"/>
        </w:rPr>
      </w:pPr>
      <w:r>
        <w:rPr>
          <w:rFonts w:hint="eastAsia" w:ascii="仿宋_GB2312" w:eastAsia="仿宋_GB2312"/>
          <w:sz w:val="28"/>
          <w:szCs w:val="36"/>
        </w:rPr>
        <w:t>2021年一般公共预算“三公”经费比上年增加0.55万元，其中：因公出国（境）费增加0万元，主要原因是未安排预算；公务用车购置费为0，未安排预算；公务用车运行费增加0.55万元，主要原因是基层任务增加；公务接待费增加0万元，主要原因是未安排预算。</w:t>
      </w:r>
    </w:p>
    <w:p>
      <w:pPr>
        <w:pStyle w:val="4"/>
        <w:spacing w:line="360" w:lineRule="auto"/>
        <w:rPr>
          <w:rStyle w:val="17"/>
          <w:rFonts w:ascii="仿宋" w:hAnsi="仿宋" w:eastAsia="仿宋"/>
          <w:b/>
          <w:bCs/>
        </w:rPr>
      </w:pPr>
      <w:bookmarkStart w:id="27" w:name="_Toc70450302"/>
      <w:bookmarkStart w:id="28" w:name="_Toc20264_WPSOffice_Level2"/>
      <w:r>
        <w:rPr>
          <w:rStyle w:val="17"/>
          <w:rFonts w:hint="eastAsia" w:ascii="仿宋" w:hAnsi="仿宋" w:eastAsia="仿宋"/>
          <w:b/>
          <w:bCs/>
        </w:rPr>
        <w:t>（三）专项支出管理及使用情况</w:t>
      </w:r>
      <w:bookmarkEnd w:id="27"/>
      <w:bookmarkEnd w:id="28"/>
    </w:p>
    <w:p>
      <w:pPr>
        <w:pStyle w:val="5"/>
        <w:spacing w:line="360" w:lineRule="auto"/>
        <w:ind w:firstLine="544" w:firstLineChars="200"/>
        <w:rPr>
          <w:rFonts w:hint="eastAsia" w:ascii="仿宋_GB2312" w:eastAsia="仿宋_GB2312" w:hAnsiTheme="minorHAnsi" w:cstheme="minorBidi"/>
          <w:b w:val="0"/>
          <w:bCs w:val="0"/>
          <w:kern w:val="2"/>
          <w:sz w:val="28"/>
          <w:szCs w:val="36"/>
          <w:lang w:val="en-US" w:eastAsia="zh-CN" w:bidi="ar-SA"/>
        </w:rPr>
      </w:pPr>
      <w:bookmarkStart w:id="29" w:name="_Toc70450303"/>
      <w:bookmarkStart w:id="30" w:name="_Toc30488_WPSOffice_Level3"/>
      <w:r>
        <w:rPr>
          <w:rStyle w:val="17"/>
          <w:rFonts w:ascii="仿宋_GB2312" w:hAnsi="楷体" w:eastAsia="仿宋_GB2312"/>
          <w:b w:val="0"/>
          <w:bCs/>
          <w:spacing w:val="-4"/>
          <w:sz w:val="28"/>
          <w:szCs w:val="28"/>
        </w:rPr>
        <w:t>2021</w:t>
      </w:r>
      <w:r>
        <w:rPr>
          <w:rStyle w:val="17"/>
          <w:rFonts w:hint="eastAsia" w:ascii="仿宋_GB2312" w:hAnsi="楷体" w:eastAsia="仿宋_GB2312"/>
          <w:b w:val="0"/>
          <w:bCs/>
          <w:spacing w:val="-4"/>
          <w:sz w:val="28"/>
          <w:szCs w:val="28"/>
        </w:rPr>
        <w:t>年预算安排专项资金</w:t>
      </w:r>
      <w:r>
        <w:rPr>
          <w:rStyle w:val="17"/>
          <w:rFonts w:hint="eastAsia" w:ascii="仿宋_GB2312" w:hAnsi="楷体" w:eastAsia="仿宋_GB2312"/>
          <w:b w:val="0"/>
          <w:bCs/>
          <w:spacing w:val="-4"/>
          <w:sz w:val="28"/>
          <w:szCs w:val="28"/>
          <w:lang w:val="en-US" w:eastAsia="zh-CN"/>
        </w:rPr>
        <w:t>5</w:t>
      </w:r>
      <w:r>
        <w:rPr>
          <w:rStyle w:val="17"/>
          <w:rFonts w:hint="eastAsia" w:ascii="仿宋_GB2312" w:hAnsi="楷体" w:eastAsia="仿宋_GB2312"/>
          <w:b w:val="0"/>
          <w:bCs/>
          <w:spacing w:val="-4"/>
          <w:sz w:val="28"/>
          <w:szCs w:val="28"/>
        </w:rPr>
        <w:t>万元</w:t>
      </w:r>
      <w:bookmarkEnd w:id="29"/>
      <w:bookmarkEnd w:id="30"/>
      <w:r>
        <w:rPr>
          <w:rFonts w:hint="eastAsia" w:ascii="仿宋_GB2312" w:eastAsia="仿宋_GB2312" w:hAnsiTheme="minorHAnsi" w:cstheme="minorBidi"/>
          <w:b w:val="0"/>
          <w:bCs w:val="0"/>
          <w:kern w:val="2"/>
          <w:sz w:val="28"/>
          <w:szCs w:val="36"/>
          <w:lang w:val="en-US" w:eastAsia="zh-CN" w:bidi="ar-SA"/>
        </w:rPr>
        <w:t>，实际到位5万元, 到位率100％,其中:中央转移支付项目资金0万元，自治区资金5 万元，本级安排0万元。</w:t>
      </w:r>
    </w:p>
    <w:p>
      <w:pPr>
        <w:pStyle w:val="5"/>
        <w:spacing w:line="360" w:lineRule="auto"/>
        <w:ind w:firstLine="562" w:firstLineChars="200"/>
        <w:rPr>
          <w:rStyle w:val="17"/>
          <w:rFonts w:ascii="仿宋" w:hAnsi="仿宋" w:eastAsia="仿宋"/>
          <w:b/>
          <w:bCs/>
        </w:rPr>
      </w:pPr>
      <w:bookmarkStart w:id="31" w:name="_Toc13694_WPSOffice_Level3"/>
      <w:bookmarkStart w:id="32" w:name="_Toc70450304"/>
      <w:r>
        <w:rPr>
          <w:rStyle w:val="17"/>
          <w:rFonts w:hint="eastAsia" w:ascii="仿宋" w:hAnsi="仿宋" w:eastAsia="仿宋"/>
          <w:b/>
          <w:bCs/>
        </w:rPr>
        <w:t>2、专项资金实际使用情况</w:t>
      </w:r>
      <w:bookmarkEnd w:id="31"/>
      <w:bookmarkEnd w:id="32"/>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2021年专项资金支出5万元，占总支出的1</w:t>
      </w:r>
      <w:r>
        <w:rPr>
          <w:rStyle w:val="17"/>
          <w:rFonts w:hint="eastAsia" w:ascii="仿宋_GB2312" w:hAnsi="楷体" w:eastAsia="仿宋_GB2312"/>
          <w:b w:val="0"/>
          <w:spacing w:val="-4"/>
          <w:sz w:val="28"/>
          <w:szCs w:val="28"/>
          <w:lang w:val="en-US" w:eastAsia="zh-CN"/>
        </w:rPr>
        <w:t>1.68%</w:t>
      </w:r>
      <w:r>
        <w:rPr>
          <w:rStyle w:val="17"/>
          <w:rFonts w:hint="eastAsia" w:ascii="仿宋_GB2312" w:hAnsi="楷体" w:eastAsia="仿宋_GB2312"/>
          <w:b w:val="0"/>
          <w:spacing w:val="-4"/>
          <w:sz w:val="28"/>
          <w:szCs w:val="28"/>
        </w:rPr>
        <w:t>，其中2021年专项项目支出比上年5万元增加0万元，上升0%。支出上升的主要原因是未安排预算。</w:t>
      </w:r>
    </w:p>
    <w:p>
      <w:pPr>
        <w:pStyle w:val="5"/>
        <w:spacing w:line="360" w:lineRule="auto"/>
        <w:ind w:firstLine="562" w:firstLineChars="200"/>
        <w:rPr>
          <w:rStyle w:val="17"/>
          <w:rFonts w:ascii="仿宋" w:hAnsi="仿宋" w:eastAsia="仿宋"/>
          <w:b/>
          <w:bCs/>
        </w:rPr>
      </w:pPr>
      <w:bookmarkStart w:id="33" w:name="_Toc29928_WPSOffice_Level3"/>
      <w:bookmarkStart w:id="34" w:name="_Toc70450305"/>
      <w:r>
        <w:rPr>
          <w:rStyle w:val="17"/>
          <w:rFonts w:hint="eastAsia" w:ascii="仿宋" w:hAnsi="仿宋" w:eastAsia="仿宋"/>
          <w:b/>
          <w:bCs/>
        </w:rPr>
        <w:t>3、专项资金管理情况</w:t>
      </w:r>
      <w:bookmarkEnd w:id="33"/>
      <w:bookmarkEnd w:id="34"/>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为规范专项资金使用，提高专项资金使用效益，我单位主要采取四项措施。</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（1）制定了中国人民政治协商会议特克斯县委员会办公室收入支出财务制度</w:t>
      </w:r>
      <w:r>
        <w:rPr>
          <w:rStyle w:val="17"/>
          <w:rFonts w:hint="eastAsia" w:ascii="仿宋_GB2312" w:hAnsi="楷体" w:eastAsia="仿宋_GB2312" w:cs="Times New Roman"/>
          <w:b w:val="0"/>
          <w:spacing w:val="-4"/>
          <w:sz w:val="28"/>
          <w:szCs w:val="28"/>
        </w:rPr>
        <w:t xml:space="preserve"> 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（2）建立中国人民政治协商会议特克斯县委员会办公室专项资金专帐，做到有据可依，有据可查。</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（3）制订了中国人民政治协商会议特克斯县委员会办公室    项目实施方案，确保项目顺利实施。</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（4）认真组织中国人民政治协商会议特克斯县委员会办公室    项目验收，确保项目顺利验收。</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专项资金涉及政府采购项目的，按照《中国人民政治协商会议特克斯县委员会办公室采购与招标管理办法》组织人员制定采购计划，按照财政局采购部门批复，进行公开招标、邀请招标等方式进行。</w:t>
      </w:r>
    </w:p>
    <w:p>
      <w:pPr>
        <w:pStyle w:val="3"/>
        <w:spacing w:line="360" w:lineRule="auto"/>
        <w:rPr>
          <w:rFonts w:ascii="仿宋" w:hAnsi="仿宋" w:eastAsia="仿宋"/>
          <w:sz w:val="36"/>
          <w:szCs w:val="36"/>
        </w:rPr>
      </w:pPr>
      <w:bookmarkStart w:id="35" w:name="_Toc70450306"/>
      <w:bookmarkStart w:id="36" w:name="_Toc4588_WPSOffice_Level1"/>
      <w:r>
        <w:rPr>
          <w:rFonts w:hint="eastAsia" w:ascii="仿宋" w:hAnsi="仿宋" w:eastAsia="仿宋"/>
          <w:sz w:val="36"/>
          <w:szCs w:val="36"/>
        </w:rPr>
        <w:t>三、部门单位专项组织实施情况</w:t>
      </w:r>
      <w:bookmarkEnd w:id="35"/>
      <w:bookmarkEnd w:id="36"/>
    </w:p>
    <w:p>
      <w:pPr>
        <w:pStyle w:val="5"/>
        <w:numPr>
          <w:ilvl w:val="0"/>
          <w:numId w:val="1"/>
        </w:numPr>
        <w:spacing w:line="360" w:lineRule="auto"/>
        <w:rPr>
          <w:rStyle w:val="17"/>
          <w:rFonts w:ascii="仿宋" w:hAnsi="仿宋" w:eastAsia="仿宋"/>
          <w:b/>
          <w:bCs/>
        </w:rPr>
      </w:pPr>
      <w:bookmarkStart w:id="37" w:name="_Toc70450308"/>
      <w:r>
        <w:rPr>
          <w:rStyle w:val="17"/>
          <w:rFonts w:hint="eastAsia" w:ascii="仿宋" w:hAnsi="仿宋" w:eastAsia="仿宋"/>
          <w:b/>
          <w:bCs/>
        </w:rPr>
        <w:t>专项组织情况分析</w:t>
      </w:r>
      <w:bookmarkEnd w:id="37"/>
    </w:p>
    <w:p>
      <w:pPr>
        <w:snapToGrid w:val="0"/>
        <w:spacing w:line="360" w:lineRule="auto"/>
        <w:ind w:firstLine="544" w:firstLineChars="200"/>
        <w:rPr>
          <w:rStyle w:val="17"/>
          <w:rFonts w:ascii="仿宋_GB2312" w:hAnsi="楷体" w:eastAsia="仿宋_GB2312"/>
          <w:b w:val="0"/>
          <w:bCs w:val="0"/>
          <w:color w:val="FF0000"/>
          <w:spacing w:val="-4"/>
          <w:sz w:val="28"/>
          <w:szCs w:val="28"/>
        </w:rPr>
      </w:pPr>
      <w:r>
        <w:rPr>
          <w:rStyle w:val="17"/>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7"/>
          <w:rFonts w:ascii="仿宋_GB2312" w:hAnsi="楷体" w:eastAsia="仿宋_GB2312"/>
          <w:b w:val="0"/>
          <w:bCs w:val="0"/>
          <w:color w:val="FF0000"/>
          <w:spacing w:val="-4"/>
          <w:sz w:val="28"/>
          <w:szCs w:val="28"/>
        </w:rPr>
      </w:pPr>
      <w:r>
        <w:rPr>
          <w:rStyle w:val="17"/>
          <w:rFonts w:hint="eastAsia" w:ascii="仿宋_GB2312" w:hAnsi="楷体" w:eastAsia="仿宋_GB2312"/>
          <w:b w:val="0"/>
          <w:bCs w:val="0"/>
          <w:color w:val="auto"/>
          <w:spacing w:val="-4"/>
          <w:sz w:val="28"/>
          <w:szCs w:val="28"/>
        </w:rPr>
        <w:t>年初我单位下发的</w:t>
      </w:r>
      <w:r>
        <w:rPr>
          <w:rStyle w:val="17"/>
          <w:rFonts w:hint="eastAsia" w:ascii="仿宋_GB2312" w:hAnsi="楷体" w:eastAsia="仿宋_GB2312"/>
          <w:b w:val="0"/>
          <w:bCs w:val="0"/>
          <w:color w:val="auto"/>
          <w:spacing w:val="-4"/>
          <w:sz w:val="28"/>
          <w:szCs w:val="28"/>
          <w:lang w:val="en-US" w:eastAsia="zh-CN"/>
        </w:rPr>
        <w:t>政协基层补助</w:t>
      </w:r>
      <w:r>
        <w:rPr>
          <w:rStyle w:val="17"/>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7"/>
          <w:rFonts w:ascii="仿宋_GB2312" w:hAnsi="楷体" w:eastAsia="仿宋_GB2312"/>
          <w:b w:val="0"/>
          <w:bCs w:val="0"/>
          <w:color w:val="auto"/>
          <w:spacing w:val="-4"/>
          <w:sz w:val="28"/>
          <w:szCs w:val="28"/>
        </w:rPr>
        <w:t>1</w:t>
      </w:r>
      <w:r>
        <w:rPr>
          <w:rStyle w:val="17"/>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7"/>
          <w:rFonts w:hint="eastAsia" w:ascii="仿宋_GB2312" w:hAnsi="楷体" w:eastAsia="仿宋_GB2312" w:cs="Times New Roman"/>
          <w:b w:val="0"/>
          <w:bCs w:val="0"/>
          <w:color w:val="auto"/>
          <w:spacing w:val="-4"/>
          <w:sz w:val="28"/>
          <w:szCs w:val="28"/>
        </w:rPr>
      </w:pPr>
      <w:r>
        <w:rPr>
          <w:rStyle w:val="17"/>
          <w:rFonts w:hint="eastAsia" w:ascii="仿宋_GB2312" w:hAnsi="楷体" w:eastAsia="仿宋_GB2312" w:cs="Times New Roman"/>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7"/>
          <w:rFonts w:hint="eastAsia" w:ascii="仿宋_GB2312" w:hAnsi="楷体" w:eastAsia="仿宋_GB2312" w:cs="Times New Roman"/>
          <w:b w:val="0"/>
          <w:bCs w:val="0"/>
          <w:color w:val="auto"/>
          <w:spacing w:val="-4"/>
          <w:sz w:val="28"/>
          <w:szCs w:val="28"/>
        </w:rPr>
      </w:pPr>
      <w:r>
        <w:rPr>
          <w:rStyle w:val="17"/>
          <w:rFonts w:hint="eastAsia" w:ascii="仿宋_GB2312" w:hAnsi="楷体" w:eastAsia="仿宋_GB2312" w:cs="Times New Roman"/>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7"/>
          <w:rFonts w:hint="eastAsia" w:ascii="仿宋_GB2312" w:hAnsi="楷体" w:eastAsia="仿宋_GB2312" w:cs="Times New Roman"/>
          <w:b w:val="0"/>
          <w:bCs w:val="0"/>
          <w:color w:val="auto"/>
          <w:spacing w:val="-4"/>
          <w:sz w:val="28"/>
          <w:szCs w:val="28"/>
        </w:rPr>
      </w:pPr>
      <w:r>
        <w:rPr>
          <w:rStyle w:val="17"/>
          <w:rFonts w:hint="eastAsia" w:ascii="仿宋_GB2312" w:hAnsi="楷体" w:eastAsia="仿宋_GB2312" w:cs="Times New Roman"/>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7"/>
          <w:rFonts w:hint="eastAsia" w:ascii="宋体" w:hAnsi="宋体" w:eastAsia="宋体"/>
          <w:color w:val="FF0000"/>
          <w:spacing w:val="-4"/>
          <w:sz w:val="28"/>
          <w:szCs w:val="28"/>
        </w:rPr>
      </w:pPr>
      <w:r>
        <w:rPr>
          <w:rStyle w:val="17"/>
          <w:rFonts w:hint="eastAsia" w:ascii="仿宋_GB2312" w:hAnsi="楷体" w:eastAsia="仿宋_GB2312"/>
          <w:b w:val="0"/>
          <w:bCs w:val="0"/>
          <w:spacing w:val="-4"/>
          <w:sz w:val="28"/>
          <w:szCs w:val="28"/>
        </w:rPr>
        <w:t>截止12月</w:t>
      </w:r>
      <w:r>
        <w:rPr>
          <w:rStyle w:val="17"/>
          <w:rFonts w:hint="eastAsia" w:ascii="仿宋_GB2312" w:hAnsi="楷体" w:eastAsia="仿宋_GB2312"/>
          <w:b w:val="0"/>
          <w:bCs w:val="0"/>
          <w:spacing w:val="-4"/>
          <w:sz w:val="28"/>
          <w:szCs w:val="28"/>
          <w:lang w:val="en-US" w:eastAsia="zh-CN"/>
        </w:rPr>
        <w:t>31</w:t>
      </w:r>
      <w:r>
        <w:rPr>
          <w:rStyle w:val="17"/>
          <w:rFonts w:hint="eastAsia" w:ascii="仿宋_GB2312" w:hAnsi="楷体" w:eastAsia="仿宋_GB2312"/>
          <w:b w:val="0"/>
          <w:bCs w:val="0"/>
          <w:spacing w:val="-4"/>
          <w:sz w:val="28"/>
          <w:szCs w:val="28"/>
        </w:rPr>
        <w:t>日，该专项均按照时间计划保质、保量完成。</w:t>
      </w:r>
    </w:p>
    <w:p>
      <w:pPr>
        <w:pStyle w:val="5"/>
        <w:numPr>
          <w:ilvl w:val="0"/>
          <w:numId w:val="1"/>
        </w:numPr>
        <w:spacing w:line="360" w:lineRule="auto"/>
        <w:rPr>
          <w:rStyle w:val="17"/>
          <w:rFonts w:ascii="仿宋" w:hAnsi="仿宋" w:eastAsia="仿宋"/>
          <w:b/>
          <w:bCs/>
        </w:rPr>
      </w:pPr>
      <w:bookmarkStart w:id="38" w:name="_Toc70450309"/>
      <w:r>
        <w:rPr>
          <w:rStyle w:val="17"/>
          <w:rFonts w:hint="eastAsia" w:ascii="仿宋" w:hAnsi="仿宋" w:eastAsia="仿宋"/>
          <w:b/>
          <w:bCs/>
        </w:rPr>
        <w:t>专项管理情况分析</w:t>
      </w:r>
      <w:bookmarkEnd w:id="38"/>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1、资金到位及使用情况</w:t>
      </w:r>
    </w:p>
    <w:p>
      <w:pPr>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楷体" w:eastAsia="仿宋_GB2312"/>
          <w:b w:val="0"/>
          <w:spacing w:val="-4"/>
          <w:sz w:val="28"/>
          <w:szCs w:val="28"/>
        </w:rPr>
        <w:t>2</w:t>
      </w:r>
      <w:r>
        <w:rPr>
          <w:rStyle w:val="17"/>
          <w:rFonts w:ascii="仿宋_GB2312" w:hAnsi="楷体" w:eastAsia="仿宋_GB2312"/>
          <w:b w:val="0"/>
          <w:spacing w:val="-4"/>
          <w:sz w:val="28"/>
          <w:szCs w:val="28"/>
        </w:rPr>
        <w:t>021</w:t>
      </w:r>
      <w:r>
        <w:rPr>
          <w:rStyle w:val="17"/>
          <w:rFonts w:hint="eastAsia" w:ascii="仿宋_GB2312" w:hAnsi="楷体" w:eastAsia="仿宋_GB2312"/>
          <w:b w:val="0"/>
          <w:spacing w:val="-4"/>
          <w:sz w:val="28"/>
          <w:szCs w:val="28"/>
        </w:rPr>
        <w:t>年涉及专项资金</w:t>
      </w:r>
      <w:r>
        <w:rPr>
          <w:rStyle w:val="17"/>
          <w:rFonts w:hint="eastAsia" w:ascii="仿宋_GB2312" w:hAnsi="楷体" w:eastAsia="仿宋_GB2312"/>
          <w:b w:val="0"/>
          <w:spacing w:val="-4"/>
          <w:sz w:val="28"/>
          <w:szCs w:val="28"/>
          <w:lang w:val="en-US" w:eastAsia="zh-CN"/>
        </w:rPr>
        <w:t>5</w:t>
      </w:r>
      <w:r>
        <w:rPr>
          <w:rStyle w:val="17"/>
          <w:rFonts w:hint="eastAsia" w:ascii="仿宋_GB2312" w:hAnsi="楷体" w:eastAsia="仿宋_GB2312"/>
          <w:b w:val="0"/>
          <w:spacing w:val="-4"/>
          <w:sz w:val="28"/>
          <w:szCs w:val="28"/>
        </w:rPr>
        <w:t>万元，实际到位</w:t>
      </w:r>
      <w:r>
        <w:rPr>
          <w:rStyle w:val="17"/>
          <w:rFonts w:hint="eastAsia" w:ascii="仿宋_GB2312" w:hAnsi="楷体" w:eastAsia="仿宋_GB2312"/>
          <w:b w:val="0"/>
          <w:spacing w:val="-4"/>
          <w:sz w:val="28"/>
          <w:szCs w:val="28"/>
          <w:lang w:val="en-US" w:eastAsia="zh-CN"/>
        </w:rPr>
        <w:t>5</w:t>
      </w:r>
      <w:r>
        <w:rPr>
          <w:rStyle w:val="17"/>
          <w:rFonts w:hint="eastAsia" w:ascii="仿宋_GB2312" w:hAnsi="楷体" w:eastAsia="仿宋_GB2312"/>
          <w:b w:val="0"/>
          <w:spacing w:val="-4"/>
          <w:sz w:val="28"/>
          <w:szCs w:val="28"/>
        </w:rPr>
        <w:t>万元，资金到位率</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%。截止到</w:t>
      </w: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年1</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月</w:t>
      </w:r>
      <w:r>
        <w:rPr>
          <w:rStyle w:val="17"/>
          <w:rFonts w:hint="eastAsia" w:ascii="仿宋_GB2312" w:hAnsi="楷体" w:eastAsia="仿宋_GB2312"/>
          <w:b w:val="0"/>
          <w:spacing w:val="-4"/>
          <w:sz w:val="28"/>
          <w:szCs w:val="28"/>
          <w:lang w:val="en-US" w:eastAsia="zh-CN"/>
        </w:rPr>
        <w:t>31</w:t>
      </w:r>
      <w:r>
        <w:rPr>
          <w:rStyle w:val="17"/>
          <w:rFonts w:hint="eastAsia" w:ascii="仿宋_GB2312" w:hAnsi="楷体" w:eastAsia="仿宋_GB2312"/>
          <w:b w:val="0"/>
          <w:spacing w:val="-4"/>
          <w:sz w:val="28"/>
          <w:szCs w:val="28"/>
        </w:rPr>
        <w:t>日执行</w:t>
      </w:r>
      <w:r>
        <w:rPr>
          <w:rStyle w:val="17"/>
          <w:rFonts w:hint="eastAsia" w:ascii="仿宋_GB2312" w:hAnsi="楷体" w:eastAsia="仿宋_GB2312"/>
          <w:b w:val="0"/>
          <w:spacing w:val="-4"/>
          <w:sz w:val="28"/>
          <w:szCs w:val="28"/>
          <w:lang w:val="en-US" w:eastAsia="zh-CN"/>
        </w:rPr>
        <w:t>5</w:t>
      </w:r>
      <w:r>
        <w:rPr>
          <w:rStyle w:val="17"/>
          <w:rFonts w:hint="eastAsia" w:ascii="仿宋_GB2312" w:hAnsi="楷体" w:eastAsia="仿宋_GB2312"/>
          <w:b w:val="0"/>
          <w:spacing w:val="-4"/>
          <w:sz w:val="28"/>
          <w:szCs w:val="28"/>
        </w:rPr>
        <w:t>万元，执行率</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%。其中：20</w:t>
      </w:r>
      <w:r>
        <w:rPr>
          <w:rStyle w:val="17"/>
          <w:rFonts w:ascii="仿宋_GB2312" w:hAnsi="楷体" w:eastAsia="仿宋_GB2312"/>
          <w:b w:val="0"/>
          <w:spacing w:val="-4"/>
          <w:sz w:val="28"/>
          <w:szCs w:val="28"/>
        </w:rPr>
        <w:t>21</w:t>
      </w:r>
      <w:r>
        <w:rPr>
          <w:rStyle w:val="17"/>
          <w:rFonts w:hint="eastAsia" w:ascii="仿宋_GB2312" w:hAnsi="楷体" w:eastAsia="仿宋_GB2312"/>
          <w:b w:val="0"/>
          <w:spacing w:val="-4"/>
          <w:sz w:val="28"/>
          <w:szCs w:val="28"/>
        </w:rPr>
        <w:t>年结转专项资金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万元，实际执行</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万元，执行率为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%；202</w:t>
      </w:r>
      <w:r>
        <w:rPr>
          <w:rStyle w:val="17"/>
          <w:rFonts w:ascii="仿宋_GB2312" w:hAnsi="楷体" w:eastAsia="仿宋_GB2312"/>
          <w:b w:val="0"/>
          <w:spacing w:val="-4"/>
          <w:sz w:val="28"/>
          <w:szCs w:val="28"/>
        </w:rPr>
        <w:t>1</w:t>
      </w:r>
      <w:r>
        <w:rPr>
          <w:rStyle w:val="17"/>
          <w:rFonts w:hint="eastAsia" w:ascii="仿宋_GB2312" w:hAnsi="楷体" w:eastAsia="仿宋_GB2312"/>
          <w:b w:val="0"/>
          <w:spacing w:val="-4"/>
          <w:sz w:val="28"/>
          <w:szCs w:val="28"/>
        </w:rPr>
        <w:t>年新增专项资金</w:t>
      </w:r>
      <w:r>
        <w:rPr>
          <w:rStyle w:val="17"/>
          <w:rFonts w:hint="eastAsia" w:ascii="仿宋_GB2312" w:hAnsi="楷体" w:eastAsia="仿宋_GB2312"/>
          <w:b w:val="0"/>
          <w:spacing w:val="-4"/>
          <w:sz w:val="28"/>
          <w:szCs w:val="28"/>
          <w:lang w:val="en-US" w:eastAsia="zh-CN"/>
        </w:rPr>
        <w:t>5</w:t>
      </w:r>
      <w:r>
        <w:rPr>
          <w:rStyle w:val="17"/>
          <w:rFonts w:hint="eastAsia" w:ascii="仿宋_GB2312" w:hAnsi="楷体" w:eastAsia="仿宋_GB2312"/>
          <w:b w:val="0"/>
          <w:spacing w:val="-4"/>
          <w:sz w:val="28"/>
          <w:szCs w:val="28"/>
        </w:rPr>
        <w:t>万元，实际执行</w:t>
      </w:r>
      <w:r>
        <w:rPr>
          <w:rStyle w:val="17"/>
          <w:rFonts w:hint="eastAsia" w:ascii="仿宋_GB2312" w:hAnsi="楷体" w:eastAsia="仿宋_GB2312"/>
          <w:b w:val="0"/>
          <w:spacing w:val="-4"/>
          <w:sz w:val="28"/>
          <w:szCs w:val="28"/>
          <w:lang w:val="en-US" w:eastAsia="zh-CN"/>
        </w:rPr>
        <w:t>5</w:t>
      </w:r>
      <w:r>
        <w:rPr>
          <w:rStyle w:val="17"/>
          <w:rFonts w:hint="eastAsia" w:ascii="仿宋_GB2312" w:hAnsi="楷体" w:eastAsia="仿宋_GB2312"/>
          <w:b w:val="0"/>
          <w:spacing w:val="-4"/>
          <w:sz w:val="28"/>
          <w:szCs w:val="28"/>
        </w:rPr>
        <w:t>万元，执行率为</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2、资金管理情况</w:t>
      </w:r>
    </w:p>
    <w:p>
      <w:pPr>
        <w:spacing w:line="360" w:lineRule="auto"/>
        <w:ind w:firstLine="816" w:firstLineChars="3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highlight w:val="none"/>
        </w:rPr>
        <w:t>我单位严格执行</w:t>
      </w:r>
      <w:r>
        <w:rPr>
          <w:rStyle w:val="17"/>
          <w:rFonts w:hint="eastAsia" w:ascii="仿宋_GB2312" w:hAnsi="楷体" w:eastAsia="仿宋_GB2312" w:cs="Times New Roman"/>
          <w:b w:val="0"/>
          <w:spacing w:val="-4"/>
          <w:sz w:val="28"/>
          <w:szCs w:val="28"/>
          <w:highlight w:val="none"/>
          <w:lang w:val="en-US" w:eastAsia="zh-CN"/>
        </w:rPr>
        <w:t>特克斯财预</w:t>
      </w:r>
      <w:r>
        <w:rPr>
          <w:rStyle w:val="17"/>
          <w:rFonts w:hint="eastAsia" w:ascii="仿宋_GB2312" w:hAnsi="楷体" w:eastAsia="仿宋_GB2312" w:cs="Times New Roman"/>
          <w:b w:val="0"/>
          <w:spacing w:val="-4"/>
          <w:sz w:val="28"/>
          <w:szCs w:val="28"/>
          <w:highlight w:val="none"/>
        </w:rPr>
        <w:t>【20</w:t>
      </w:r>
      <w:r>
        <w:rPr>
          <w:rStyle w:val="17"/>
          <w:rFonts w:hint="eastAsia" w:ascii="仿宋_GB2312" w:hAnsi="楷体" w:eastAsia="仿宋_GB2312" w:cs="Times New Roman"/>
          <w:b w:val="0"/>
          <w:spacing w:val="-4"/>
          <w:sz w:val="28"/>
          <w:szCs w:val="28"/>
          <w:highlight w:val="none"/>
          <w:lang w:val="en-US" w:eastAsia="zh-CN"/>
        </w:rPr>
        <w:t>21</w:t>
      </w:r>
      <w:r>
        <w:rPr>
          <w:rStyle w:val="17"/>
          <w:rFonts w:hint="eastAsia" w:ascii="仿宋_GB2312" w:hAnsi="楷体" w:eastAsia="仿宋_GB2312" w:cs="Times New Roman"/>
          <w:b w:val="0"/>
          <w:spacing w:val="-4"/>
          <w:sz w:val="28"/>
          <w:szCs w:val="28"/>
          <w:highlight w:val="none"/>
        </w:rPr>
        <w:t>】</w:t>
      </w:r>
      <w:r>
        <w:rPr>
          <w:rStyle w:val="17"/>
          <w:rFonts w:hint="eastAsia" w:ascii="仿宋_GB2312" w:hAnsi="楷体" w:eastAsia="仿宋_GB2312" w:cs="Times New Roman"/>
          <w:b w:val="0"/>
          <w:spacing w:val="-4"/>
          <w:sz w:val="28"/>
          <w:szCs w:val="28"/>
          <w:highlight w:val="none"/>
          <w:lang w:val="en-US" w:eastAsia="zh-CN"/>
        </w:rPr>
        <w:t>00085</w:t>
      </w:r>
      <w:r>
        <w:rPr>
          <w:rStyle w:val="17"/>
          <w:rFonts w:hint="eastAsia" w:ascii="仿宋_GB2312" w:hAnsi="楷体" w:eastAsia="仿宋_GB2312" w:cs="Times New Roman"/>
          <w:b w:val="0"/>
          <w:spacing w:val="-4"/>
          <w:sz w:val="28"/>
          <w:szCs w:val="28"/>
          <w:highlight w:val="none"/>
        </w:rPr>
        <w:t>号《专项资金管理办法》文件精神要求</w:t>
      </w:r>
      <w:r>
        <w:rPr>
          <w:rStyle w:val="17"/>
          <w:rFonts w:hint="eastAsia" w:ascii="仿宋_GB2312" w:hAnsi="楷体" w:eastAsia="仿宋_GB2312" w:cs="Times New Roman"/>
          <w:b w:val="0"/>
          <w:spacing w:val="-4"/>
          <w:sz w:val="28"/>
          <w:szCs w:val="28"/>
        </w:rPr>
        <w:t>，加强对专项资金的绩效管理，确保专款专用，提高专项资金使用效益。遵守相关法律法规，严肃财经纪律，自觉接受财政、审计、监察监督检查。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7"/>
          <w:rFonts w:ascii="仿宋" w:hAnsi="仿宋" w:eastAsia="仿宋"/>
          <w:b/>
          <w:bCs/>
        </w:rPr>
      </w:pPr>
      <w:r>
        <w:rPr>
          <w:rStyle w:val="17"/>
          <w:rFonts w:hint="eastAsia" w:ascii="仿宋" w:hAnsi="仿宋" w:eastAsia="仿宋"/>
          <w:b/>
          <w:bCs/>
        </w:rPr>
        <w:t>项目实施情况分析</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w:t>
      </w:r>
      <w:r>
        <w:rPr>
          <w:rStyle w:val="17"/>
          <w:rFonts w:ascii="仿宋_GB2312" w:hAnsi="楷体" w:eastAsia="仿宋_GB2312"/>
          <w:b w:val="0"/>
          <w:spacing w:val="-4"/>
          <w:sz w:val="28"/>
          <w:szCs w:val="28"/>
        </w:rPr>
        <w:t>、组织情况</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特克斯县中国人民政治协商会议特克斯县委员会办公室，根据2021年</w:t>
      </w:r>
      <w:r>
        <w:rPr>
          <w:rStyle w:val="17"/>
          <w:rFonts w:hint="eastAsia" w:ascii="仿宋_GB2312" w:hAnsi="楷体" w:eastAsia="仿宋_GB2312" w:cs="Times New Roman"/>
          <w:b w:val="0"/>
          <w:spacing w:val="-4"/>
          <w:sz w:val="28"/>
          <w:szCs w:val="28"/>
          <w:lang w:val="en-US" w:eastAsia="zh-CN"/>
        </w:rPr>
        <w:t>1</w:t>
      </w:r>
      <w:r>
        <w:rPr>
          <w:rStyle w:val="17"/>
          <w:rFonts w:hint="eastAsia" w:ascii="仿宋_GB2312" w:hAnsi="楷体" w:eastAsia="仿宋_GB2312" w:cs="Times New Roman"/>
          <w:b w:val="0"/>
          <w:spacing w:val="-4"/>
          <w:sz w:val="28"/>
          <w:szCs w:val="28"/>
        </w:rPr>
        <w:t>个项目的绩效目标及工作内容，将其细化分工至本单位</w:t>
      </w:r>
      <w:r>
        <w:rPr>
          <w:rStyle w:val="17"/>
          <w:rFonts w:hint="eastAsia" w:ascii="仿宋_GB2312" w:hAnsi="楷体" w:eastAsia="仿宋_GB2312" w:cs="Times New Roman"/>
          <w:b w:val="0"/>
          <w:spacing w:val="-4"/>
          <w:sz w:val="28"/>
          <w:szCs w:val="28"/>
          <w:lang w:val="en-US" w:eastAsia="zh-CN"/>
        </w:rPr>
        <w:t>5</w:t>
      </w:r>
      <w:r>
        <w:rPr>
          <w:rStyle w:val="17"/>
          <w:rFonts w:hint="eastAsia" w:ascii="仿宋_GB2312" w:hAnsi="楷体" w:eastAsia="仿宋_GB2312" w:cs="Times New Roman"/>
          <w:b w:val="0"/>
          <w:spacing w:val="-4"/>
          <w:sz w:val="28"/>
          <w:szCs w:val="28"/>
        </w:rPr>
        <w:t>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w:t>
      </w:r>
      <w:r>
        <w:rPr>
          <w:rStyle w:val="17"/>
          <w:rFonts w:ascii="仿宋_GB2312" w:hAnsi="楷体" w:eastAsia="仿宋_GB2312"/>
          <w:b w:val="0"/>
          <w:spacing w:val="-4"/>
          <w:sz w:val="28"/>
          <w:szCs w:val="28"/>
        </w:rPr>
        <w:t>、管理情况</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特克斯县中国人民政治协商会议特克斯县委员会办公室，实施的</w:t>
      </w:r>
      <w:r>
        <w:rPr>
          <w:rStyle w:val="17"/>
          <w:rFonts w:hint="eastAsia" w:ascii="仿宋_GB2312" w:hAnsi="楷体" w:eastAsia="仿宋_GB2312" w:cs="Times New Roman"/>
          <w:b w:val="0"/>
          <w:spacing w:val="-4"/>
          <w:sz w:val="28"/>
          <w:szCs w:val="28"/>
          <w:lang w:val="en-US" w:eastAsia="zh-CN"/>
        </w:rPr>
        <w:t>1</w:t>
      </w:r>
      <w:r>
        <w:rPr>
          <w:rStyle w:val="17"/>
          <w:rFonts w:hint="eastAsia" w:ascii="仿宋_GB2312" w:hAnsi="楷体" w:eastAsia="仿宋_GB2312" w:cs="Times New Roman"/>
          <w:b w:val="0"/>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w:t>
      </w:r>
      <w:r>
        <w:rPr>
          <w:rStyle w:val="17"/>
          <w:rFonts w:ascii="仿宋_GB2312" w:hAnsi="楷体" w:eastAsia="仿宋_GB2312"/>
          <w:b w:val="0"/>
          <w:spacing w:val="-4"/>
          <w:sz w:val="28"/>
          <w:szCs w:val="28"/>
        </w:rPr>
        <w:t>、监管情况</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特克斯县中国人民政治协商会议特克斯县委员会办公室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7"/>
          <w:rFonts w:ascii="仿宋" w:hAnsi="仿宋" w:eastAsia="仿宋"/>
          <w:b/>
          <w:bCs/>
        </w:rPr>
      </w:pPr>
      <w:r>
        <w:rPr>
          <w:rStyle w:val="17"/>
          <w:rFonts w:hint="eastAsia" w:ascii="仿宋" w:hAnsi="仿宋" w:eastAsia="仿宋"/>
          <w:b/>
          <w:bCs/>
        </w:rPr>
        <w:t>绩效情况分析</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1</w:t>
      </w:r>
      <w:r>
        <w:rPr>
          <w:rStyle w:val="17"/>
          <w:rFonts w:ascii="仿宋_GB2312" w:hAnsi="楷体" w:eastAsia="仿宋_GB2312"/>
          <w:b w:val="0"/>
          <w:bCs w:val="0"/>
          <w:spacing w:val="-4"/>
          <w:sz w:val="28"/>
          <w:szCs w:val="28"/>
        </w:rPr>
        <w:t>、成本控制情况</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特克斯县中国人民政治协商会议特克斯县委员会办公室，所涉及专项项目均已于专项资金下达后按照资金文件及绩效管理要求设置《项目绩效目标表》。</w:t>
      </w:r>
      <w:r>
        <w:rPr>
          <w:rStyle w:val="17"/>
          <w:rFonts w:hint="eastAsia" w:ascii="仿宋_GB2312" w:hAnsi="楷体" w:eastAsia="仿宋_GB2312" w:cs="Times New Roman"/>
          <w:b w:val="0"/>
          <w:spacing w:val="-4"/>
          <w:sz w:val="28"/>
          <w:szCs w:val="28"/>
          <w:lang w:val="en-US" w:eastAsia="zh-CN"/>
        </w:rPr>
        <w:t>1</w:t>
      </w:r>
      <w:r>
        <w:rPr>
          <w:rStyle w:val="17"/>
          <w:rFonts w:hint="eastAsia" w:ascii="仿宋_GB2312" w:hAnsi="楷体" w:eastAsia="仿宋_GB2312" w:cs="Times New Roman"/>
          <w:b w:val="0"/>
          <w:spacing w:val="-4"/>
          <w:sz w:val="28"/>
          <w:szCs w:val="28"/>
        </w:rPr>
        <w:t>个专项项目预算总额为</w:t>
      </w:r>
      <w:r>
        <w:rPr>
          <w:rStyle w:val="17"/>
          <w:rFonts w:hint="eastAsia" w:ascii="仿宋_GB2312" w:hAnsi="楷体" w:eastAsia="仿宋_GB2312" w:cs="Times New Roman"/>
          <w:b w:val="0"/>
          <w:spacing w:val="-4"/>
          <w:sz w:val="28"/>
          <w:szCs w:val="28"/>
          <w:lang w:val="en-US" w:eastAsia="zh-CN"/>
        </w:rPr>
        <w:t>5</w:t>
      </w:r>
      <w:r>
        <w:rPr>
          <w:rStyle w:val="17"/>
          <w:rFonts w:hint="eastAsia" w:ascii="仿宋_GB2312" w:hAnsi="楷体" w:eastAsia="仿宋_GB2312" w:cs="Times New Roman"/>
          <w:b w:val="0"/>
          <w:spacing w:val="-4"/>
          <w:sz w:val="28"/>
          <w:szCs w:val="28"/>
        </w:rPr>
        <w:t>万元，在项目实施过程中，业务人员加强项目管理，合理控制项目成本，截止项目结束，</w:t>
      </w:r>
      <w:r>
        <w:rPr>
          <w:rStyle w:val="17"/>
          <w:rFonts w:hint="eastAsia" w:ascii="仿宋_GB2312" w:hAnsi="楷体" w:eastAsia="仿宋_GB2312" w:cs="Times New Roman"/>
          <w:b w:val="0"/>
          <w:spacing w:val="-4"/>
          <w:sz w:val="28"/>
          <w:szCs w:val="28"/>
          <w:lang w:val="en-US" w:eastAsia="zh-CN"/>
        </w:rPr>
        <w:t>1</w:t>
      </w:r>
      <w:r>
        <w:rPr>
          <w:rStyle w:val="17"/>
          <w:rFonts w:hint="eastAsia" w:ascii="仿宋_GB2312" w:hAnsi="楷体" w:eastAsia="仿宋_GB2312" w:cs="Times New Roman"/>
          <w:b w:val="0"/>
          <w:spacing w:val="-4"/>
          <w:sz w:val="28"/>
          <w:szCs w:val="28"/>
        </w:rPr>
        <w:t>个项目总成本为</w:t>
      </w:r>
      <w:r>
        <w:rPr>
          <w:rStyle w:val="17"/>
          <w:rFonts w:hint="eastAsia" w:ascii="仿宋_GB2312" w:hAnsi="楷体" w:eastAsia="仿宋_GB2312" w:cs="Times New Roman"/>
          <w:b w:val="0"/>
          <w:spacing w:val="-4"/>
          <w:sz w:val="28"/>
          <w:szCs w:val="28"/>
          <w:lang w:val="en-US" w:eastAsia="zh-CN"/>
        </w:rPr>
        <w:t>5</w:t>
      </w:r>
      <w:r>
        <w:rPr>
          <w:rStyle w:val="17"/>
          <w:rFonts w:hint="eastAsia" w:ascii="仿宋_GB2312" w:hAnsi="楷体" w:eastAsia="仿宋_GB2312" w:cs="Times New Roman"/>
          <w:b w:val="0"/>
          <w:spacing w:val="-4"/>
          <w:sz w:val="28"/>
          <w:szCs w:val="28"/>
        </w:rPr>
        <w:t>万元，不存在超支情况。</w:t>
      </w:r>
    </w:p>
    <w:p>
      <w:pPr>
        <w:spacing w:line="360" w:lineRule="auto"/>
        <w:ind w:firstLine="544" w:firstLineChars="200"/>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2、成本节约情况</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cs="Times New Roman"/>
          <w:b w:val="0"/>
          <w:spacing w:val="-4"/>
          <w:sz w:val="28"/>
          <w:szCs w:val="28"/>
        </w:rPr>
        <w:t>特克斯县中国人民政治协商会议特克斯县委员会办公室，</w:t>
      </w:r>
      <w:r>
        <w:rPr>
          <w:rStyle w:val="17"/>
          <w:rFonts w:hint="eastAsia" w:ascii="仿宋_GB2312" w:hAnsi="楷体" w:eastAsia="仿宋_GB2312"/>
          <w:b w:val="0"/>
          <w:spacing w:val="-4"/>
          <w:sz w:val="28"/>
          <w:szCs w:val="28"/>
        </w:rPr>
        <w:t>所涉及专项项目使用资金比专项项目总预算减少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bookmarkStart w:id="39" w:name="_Hlk96097132"/>
      <w:r>
        <w:rPr>
          <w:rStyle w:val="17"/>
          <w:rFonts w:hint="eastAsia" w:ascii="仿宋_GB2312" w:hAnsi="楷体" w:eastAsia="仿宋_GB2312"/>
          <w:b w:val="0"/>
          <w:spacing w:val="-4"/>
          <w:sz w:val="28"/>
          <w:szCs w:val="28"/>
        </w:rPr>
        <w:t>项目节约率</w:t>
      </w:r>
      <w:bookmarkEnd w:id="39"/>
      <w:r>
        <w:rPr>
          <w:rStyle w:val="17"/>
          <w:rFonts w:hint="eastAsia" w:ascii="仿宋_GB2312" w:hAnsi="楷体" w:eastAsia="仿宋_GB2312"/>
          <w:b w:val="0"/>
          <w:spacing w:val="-4"/>
          <w:sz w:val="28"/>
          <w:szCs w:val="28"/>
        </w:rPr>
        <w:t>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w:t>
      </w:r>
    </w:p>
    <w:p>
      <w:pPr>
        <w:pStyle w:val="5"/>
        <w:numPr>
          <w:ilvl w:val="0"/>
          <w:numId w:val="1"/>
        </w:numPr>
        <w:spacing w:line="360" w:lineRule="auto"/>
        <w:rPr>
          <w:rStyle w:val="17"/>
          <w:rFonts w:hint="eastAsia" w:ascii="仿宋" w:hAnsi="仿宋" w:eastAsia="仿宋"/>
          <w:b/>
          <w:bCs/>
        </w:rPr>
      </w:pPr>
      <w:r>
        <w:rPr>
          <w:rStyle w:val="17"/>
          <w:rFonts w:hint="eastAsia" w:ascii="仿宋" w:hAnsi="仿宋" w:eastAsia="仿宋"/>
          <w:b/>
          <w:bCs/>
        </w:rPr>
        <w:t>项目效率性分析</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1、实施进度</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20</w:t>
      </w:r>
      <w:r>
        <w:rPr>
          <w:rStyle w:val="17"/>
          <w:rFonts w:hint="eastAsia" w:ascii="仿宋_GB2312" w:hAnsi="楷体" w:eastAsia="仿宋_GB2312" w:cs="Times New Roman"/>
          <w:b w:val="0"/>
          <w:spacing w:val="-4"/>
          <w:sz w:val="28"/>
          <w:szCs w:val="28"/>
        </w:rPr>
        <w:t>21年特克斯县中国人民政治协商会议特克斯县委员会办公室共涉及专项项目</w:t>
      </w:r>
      <w:r>
        <w:rPr>
          <w:rStyle w:val="17"/>
          <w:rFonts w:hint="eastAsia" w:ascii="仿宋_GB2312" w:hAnsi="楷体" w:eastAsia="仿宋_GB2312" w:cs="Times New Roman"/>
          <w:b w:val="0"/>
          <w:spacing w:val="-4"/>
          <w:sz w:val="28"/>
          <w:szCs w:val="28"/>
          <w:lang w:val="en-US" w:eastAsia="zh-CN"/>
        </w:rPr>
        <w:t>1</w:t>
      </w:r>
      <w:r>
        <w:rPr>
          <w:rStyle w:val="17"/>
          <w:rFonts w:hint="eastAsia" w:ascii="仿宋_GB2312" w:hAnsi="楷体" w:eastAsia="仿宋_GB2312" w:cs="Times New Roman"/>
          <w:b w:val="0"/>
          <w:spacing w:val="-4"/>
          <w:sz w:val="28"/>
          <w:szCs w:val="28"/>
        </w:rPr>
        <w:t>个，截止到202</w:t>
      </w:r>
      <w:r>
        <w:rPr>
          <w:rStyle w:val="17"/>
          <w:rFonts w:hint="eastAsia" w:ascii="仿宋_GB2312" w:hAnsi="楷体" w:eastAsia="仿宋_GB2312" w:cs="Times New Roman"/>
          <w:b w:val="0"/>
          <w:spacing w:val="-4"/>
          <w:sz w:val="28"/>
          <w:szCs w:val="28"/>
          <w:lang w:val="en-US" w:eastAsia="zh-CN"/>
        </w:rPr>
        <w:t>1</w:t>
      </w:r>
      <w:r>
        <w:rPr>
          <w:rStyle w:val="17"/>
          <w:rFonts w:hint="eastAsia" w:ascii="仿宋_GB2312" w:hAnsi="楷体" w:eastAsia="仿宋_GB2312" w:cs="Times New Roman"/>
          <w:b w:val="0"/>
          <w:spacing w:val="-4"/>
          <w:sz w:val="28"/>
          <w:szCs w:val="28"/>
        </w:rPr>
        <w:t>年底，通过专项项目实施过程中的有</w:t>
      </w:r>
      <w:r>
        <w:rPr>
          <w:rStyle w:val="17"/>
          <w:rFonts w:hint="eastAsia" w:ascii="仿宋_GB2312" w:hAnsi="楷体" w:eastAsia="仿宋_GB2312"/>
          <w:b w:val="0"/>
          <w:spacing w:val="-4"/>
          <w:sz w:val="28"/>
          <w:szCs w:val="28"/>
        </w:rPr>
        <w:t>效监督，我单位按预期完成了</w:t>
      </w:r>
      <w:r>
        <w:rPr>
          <w:rStyle w:val="17"/>
          <w:rFonts w:hint="eastAsia" w:ascii="仿宋_GB2312" w:hAnsi="楷体" w:eastAsia="仿宋_GB2312"/>
          <w:b w:val="0"/>
          <w:spacing w:val="-4"/>
          <w:sz w:val="28"/>
          <w:szCs w:val="28"/>
          <w:lang w:val="en-US" w:eastAsia="zh-CN"/>
        </w:rPr>
        <w:t>1</w:t>
      </w:r>
      <w:r>
        <w:rPr>
          <w:rStyle w:val="17"/>
          <w:rFonts w:hint="eastAsia" w:ascii="仿宋_GB2312" w:hAnsi="楷体" w:eastAsia="仿宋_GB2312"/>
          <w:b w:val="0"/>
          <w:spacing w:val="-4"/>
          <w:sz w:val="28"/>
          <w:szCs w:val="28"/>
        </w:rPr>
        <w:t>个专项的各项专项任务，项目总体完成率为</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2、完成质量</w:t>
      </w:r>
    </w:p>
    <w:p>
      <w:pPr>
        <w:spacing w:line="360" w:lineRule="auto"/>
        <w:ind w:firstLine="544" w:firstLineChars="200"/>
        <w:rPr>
          <w:rStyle w:val="17"/>
          <w:rFonts w:hint="eastAsia" w:ascii="仿宋_GB2312" w:hAnsi="楷体" w:eastAsia="仿宋_GB2312"/>
          <w:b w:val="0"/>
          <w:spacing w:val="-4"/>
          <w:sz w:val="28"/>
          <w:szCs w:val="28"/>
        </w:rPr>
      </w:pPr>
      <w:bookmarkStart w:id="40" w:name="_Hlk96100380"/>
      <w:r>
        <w:rPr>
          <w:rStyle w:val="17"/>
          <w:rFonts w:hint="eastAsia" w:ascii="仿宋_GB2312" w:hAnsi="楷体" w:eastAsia="仿宋_GB2312"/>
          <w:b w:val="0"/>
          <w:spacing w:val="-4"/>
          <w:sz w:val="28"/>
          <w:szCs w:val="28"/>
          <w:lang w:val="en-US" w:eastAsia="zh-CN"/>
        </w:rPr>
        <w:t>1</w:t>
      </w:r>
      <w:r>
        <w:rPr>
          <w:rStyle w:val="17"/>
          <w:rFonts w:hint="eastAsia" w:ascii="仿宋_GB2312" w:hAnsi="楷体" w:eastAsia="仿宋_GB2312"/>
          <w:b w:val="0"/>
          <w:spacing w:val="-4"/>
          <w:sz w:val="28"/>
          <w:szCs w:val="28"/>
        </w:rPr>
        <w:t>个专项项目完成质量情况如下：</w:t>
      </w:r>
      <w:bookmarkEnd w:id="40"/>
    </w:p>
    <w:p>
      <w:pPr>
        <w:spacing w:line="360" w:lineRule="auto"/>
        <w:ind w:firstLine="544" w:firstLineChars="200"/>
        <w:rPr>
          <w:rStyle w:val="17"/>
          <w:rFonts w:ascii="仿宋_GB2312" w:hAnsi="楷体" w:eastAsia="仿宋_GB2312"/>
          <w:b w:val="0"/>
          <w:spacing w:val="-4"/>
          <w:sz w:val="28"/>
          <w:szCs w:val="28"/>
          <w:highlight w:val="none"/>
        </w:rPr>
      </w:pPr>
      <w:bookmarkStart w:id="72" w:name="_GoBack"/>
      <w:r>
        <w:rPr>
          <w:rStyle w:val="17"/>
          <w:rFonts w:hint="eastAsia" w:ascii="仿宋_GB2312" w:hAnsi="楷体" w:eastAsia="仿宋_GB2312"/>
          <w:b w:val="0"/>
          <w:spacing w:val="-4"/>
          <w:sz w:val="28"/>
          <w:szCs w:val="28"/>
          <w:highlight w:val="none"/>
        </w:rPr>
        <w:t>①</w:t>
      </w:r>
      <w:r>
        <w:rPr>
          <w:rStyle w:val="17"/>
          <w:rFonts w:hint="eastAsia" w:ascii="仿宋_GB2312" w:hAnsi="楷体" w:eastAsia="仿宋_GB2312" w:cs="Times New Roman"/>
          <w:b w:val="0"/>
          <w:spacing w:val="-4"/>
          <w:sz w:val="28"/>
          <w:szCs w:val="28"/>
          <w:highlight w:val="none"/>
        </w:rPr>
        <w:t>政协基层补助</w:t>
      </w:r>
      <w:r>
        <w:rPr>
          <w:rStyle w:val="17"/>
          <w:rFonts w:hint="eastAsia" w:ascii="仿宋_GB2312" w:hAnsi="楷体" w:eastAsia="仿宋_GB2312" w:cs="Times New Roman"/>
          <w:b w:val="0"/>
          <w:spacing w:val="-4"/>
          <w:sz w:val="28"/>
          <w:szCs w:val="28"/>
          <w:highlight w:val="none"/>
          <w:lang w:val="en-US" w:eastAsia="zh-CN"/>
        </w:rPr>
        <w:t>资金项目</w:t>
      </w:r>
      <w:r>
        <w:rPr>
          <w:rStyle w:val="17"/>
          <w:rFonts w:hint="eastAsia" w:ascii="仿宋_GB2312" w:hAnsi="楷体" w:eastAsia="仿宋_GB2312"/>
          <w:b w:val="0"/>
          <w:spacing w:val="-4"/>
          <w:sz w:val="28"/>
          <w:szCs w:val="28"/>
          <w:highlight w:val="none"/>
        </w:rPr>
        <w:t>完成参加政协的调研、视察、学习考察、提案督办</w:t>
      </w:r>
    </w:p>
    <w:p>
      <w:pPr>
        <w:pStyle w:val="5"/>
        <w:numPr>
          <w:ilvl w:val="0"/>
          <w:numId w:val="1"/>
        </w:numPr>
        <w:spacing w:line="360" w:lineRule="auto"/>
        <w:rPr>
          <w:rStyle w:val="17"/>
          <w:rFonts w:ascii="仿宋" w:hAnsi="仿宋" w:eastAsia="仿宋"/>
          <w:b/>
          <w:bCs/>
          <w:highlight w:val="none"/>
        </w:rPr>
      </w:pPr>
      <w:r>
        <w:rPr>
          <w:rStyle w:val="17"/>
          <w:rFonts w:hint="eastAsia" w:ascii="仿宋" w:hAnsi="仿宋" w:eastAsia="仿宋"/>
          <w:b/>
          <w:bCs/>
          <w:highlight w:val="none"/>
        </w:rPr>
        <w:t>项目效益性分析</w:t>
      </w:r>
    </w:p>
    <w:p>
      <w:pPr>
        <w:ind w:firstLine="544" w:firstLineChars="200"/>
        <w:rPr>
          <w:rStyle w:val="17"/>
          <w:rFonts w:ascii="仿宋_GB2312" w:hAnsi="楷体" w:eastAsia="仿宋_GB2312"/>
          <w:b w:val="0"/>
          <w:bCs w:val="0"/>
          <w:spacing w:val="-4"/>
          <w:sz w:val="28"/>
          <w:szCs w:val="28"/>
          <w:highlight w:val="none"/>
        </w:rPr>
      </w:pPr>
      <w:r>
        <w:rPr>
          <w:rStyle w:val="17"/>
          <w:rFonts w:hint="eastAsia" w:ascii="仿宋_GB2312" w:hAnsi="楷体" w:eastAsia="仿宋_GB2312"/>
          <w:b w:val="0"/>
          <w:bCs w:val="0"/>
          <w:spacing w:val="-4"/>
          <w:sz w:val="28"/>
          <w:szCs w:val="28"/>
          <w:highlight w:val="none"/>
          <w:lang w:val="en-US" w:eastAsia="zh-CN"/>
        </w:rPr>
        <w:t>1</w:t>
      </w:r>
      <w:r>
        <w:rPr>
          <w:rStyle w:val="17"/>
          <w:rFonts w:hint="eastAsia" w:ascii="仿宋_GB2312" w:hAnsi="楷体" w:eastAsia="仿宋_GB2312"/>
          <w:b w:val="0"/>
          <w:bCs w:val="0"/>
          <w:spacing w:val="-4"/>
          <w:sz w:val="28"/>
          <w:szCs w:val="28"/>
          <w:highlight w:val="none"/>
        </w:rPr>
        <w:t>个专项项目预期目标完成程度、实施对经济和社会的影响如下：</w:t>
      </w:r>
    </w:p>
    <w:p>
      <w:p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①</w:t>
      </w:r>
      <w:r>
        <w:rPr>
          <w:rStyle w:val="17"/>
          <w:rFonts w:hint="eastAsia" w:ascii="仿宋_GB2312" w:hAnsi="楷体" w:eastAsia="仿宋_GB2312" w:cs="Times New Roman"/>
          <w:b w:val="0"/>
          <w:spacing w:val="-4"/>
          <w:sz w:val="28"/>
          <w:szCs w:val="28"/>
          <w:highlight w:val="none"/>
        </w:rPr>
        <w:t>政协基层补助</w:t>
      </w:r>
      <w:r>
        <w:rPr>
          <w:rStyle w:val="17"/>
          <w:rFonts w:hint="eastAsia" w:ascii="仿宋_GB2312" w:hAnsi="楷体" w:eastAsia="仿宋_GB2312" w:cs="Times New Roman"/>
          <w:b w:val="0"/>
          <w:spacing w:val="-4"/>
          <w:sz w:val="28"/>
          <w:szCs w:val="28"/>
          <w:highlight w:val="none"/>
          <w:lang w:val="en-US" w:eastAsia="zh-CN"/>
        </w:rPr>
        <w:t>资金项目</w:t>
      </w:r>
      <w:r>
        <w:rPr>
          <w:rStyle w:val="17"/>
          <w:rFonts w:hint="eastAsia" w:ascii="仿宋_GB2312" w:hAnsi="楷体" w:eastAsia="仿宋_GB2312"/>
          <w:b w:val="0"/>
          <w:spacing w:val="-4"/>
          <w:sz w:val="28"/>
          <w:szCs w:val="28"/>
          <w:highlight w:val="none"/>
        </w:rPr>
        <w:t>完成参加政协的调研、视察、学习考察、提案督办</w:t>
      </w:r>
    </w:p>
    <w:bookmarkEnd w:id="72"/>
    <w:p/>
    <w:p>
      <w:pPr>
        <w:pStyle w:val="3"/>
        <w:spacing w:line="360" w:lineRule="auto"/>
        <w:rPr>
          <w:rFonts w:ascii="仿宋" w:hAnsi="仿宋" w:eastAsia="仿宋"/>
          <w:sz w:val="36"/>
          <w:szCs w:val="36"/>
        </w:rPr>
      </w:pPr>
      <w:bookmarkStart w:id="41" w:name="_Toc70450310"/>
      <w:bookmarkStart w:id="42" w:name="_Toc16500_WPSOffice_Level1"/>
      <w:r>
        <w:rPr>
          <w:rFonts w:hint="eastAsia" w:ascii="仿宋" w:hAnsi="仿宋" w:eastAsia="仿宋"/>
          <w:sz w:val="36"/>
          <w:szCs w:val="36"/>
        </w:rPr>
        <w:t>四、资产管理情况</w:t>
      </w:r>
      <w:bookmarkEnd w:id="41"/>
      <w:bookmarkEnd w:id="42"/>
    </w:p>
    <w:p>
      <w:pPr>
        <w:pStyle w:val="4"/>
        <w:spacing w:line="360" w:lineRule="auto"/>
        <w:rPr>
          <w:rStyle w:val="17"/>
          <w:rFonts w:ascii="仿宋" w:hAnsi="仿宋" w:eastAsia="仿宋"/>
          <w:b/>
          <w:bCs/>
        </w:rPr>
      </w:pPr>
      <w:bookmarkStart w:id="43" w:name="_Toc6072_WPSOffice_Level2"/>
      <w:bookmarkStart w:id="44" w:name="_Toc70450311"/>
      <w:r>
        <w:rPr>
          <w:rStyle w:val="17"/>
          <w:rFonts w:hint="eastAsia" w:ascii="仿宋" w:hAnsi="仿宋" w:eastAsia="仿宋"/>
          <w:b/>
          <w:bCs/>
        </w:rPr>
        <w:t>（一）资产配置情况</w:t>
      </w:r>
      <w:bookmarkEnd w:id="43"/>
      <w:bookmarkEnd w:id="44"/>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2021年我</w:t>
      </w:r>
      <w:r>
        <w:rPr>
          <w:rStyle w:val="17"/>
          <w:rFonts w:hint="eastAsia" w:ascii="仿宋_GB2312" w:hAnsi="楷体" w:eastAsia="仿宋_GB2312"/>
          <w:b w:val="0"/>
          <w:spacing w:val="-4"/>
          <w:sz w:val="28"/>
          <w:szCs w:val="28"/>
        </w:rPr>
        <w:t>单位</w:t>
      </w:r>
      <w:r>
        <w:rPr>
          <w:rStyle w:val="17"/>
          <w:rFonts w:hint="eastAsia" w:ascii="仿宋_GB2312" w:hAnsi="宋体" w:eastAsia="仿宋_GB2312"/>
          <w:b w:val="0"/>
          <w:bCs w:val="0"/>
          <w:spacing w:val="-4"/>
          <w:sz w:val="28"/>
          <w:szCs w:val="28"/>
        </w:rPr>
        <w:t>资产总额41.75万元，其中流动资产11.73元（其中其他应收款净额1.25万元，财政应返回额度10.48），固定资产净值30.02万元（其中：土地、房屋及构筑物4.76万元，占固定资产净值的15.86%；通用设备25.26万元，占固定资产净值的84.14%；专用设备0元，占固定资产净值的0%；）。</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本年度流动资产11.73万元，比上年减少2.94万元，原因是：收回应收款。</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本年度固定资产149.64万元，比上年增加0.15万元，原因是：无增加固定资产。</w:t>
      </w:r>
    </w:p>
    <w:p>
      <w:pPr>
        <w:snapToGrid w:val="0"/>
        <w:spacing w:line="360" w:lineRule="auto"/>
        <w:ind w:firstLine="544" w:firstLineChars="200"/>
        <w:rPr>
          <w:rStyle w:val="17"/>
          <w:rFonts w:ascii="宋体" w:hAnsi="宋体" w:eastAsia="仿宋_GB2312"/>
          <w:bCs w:val="0"/>
          <w:color w:val="FF0000"/>
          <w:spacing w:val="-4"/>
          <w:sz w:val="28"/>
          <w:szCs w:val="28"/>
        </w:rPr>
      </w:pPr>
      <w:r>
        <w:rPr>
          <w:rStyle w:val="17"/>
          <w:rFonts w:hint="eastAsia" w:ascii="仿宋_GB2312" w:hAnsi="宋体" w:eastAsia="仿宋_GB2312"/>
          <w:b w:val="0"/>
          <w:bCs w:val="0"/>
          <w:spacing w:val="-4"/>
          <w:sz w:val="28"/>
          <w:szCs w:val="28"/>
        </w:rPr>
        <w:t>实际在用固定资产149.64万元，固定资产利用率100%。</w:t>
      </w:r>
    </w:p>
    <w:p>
      <w:pPr>
        <w:pStyle w:val="4"/>
        <w:spacing w:line="360" w:lineRule="auto"/>
        <w:rPr>
          <w:rStyle w:val="17"/>
          <w:rFonts w:ascii="仿宋" w:hAnsi="仿宋" w:eastAsia="仿宋"/>
          <w:b/>
          <w:bCs/>
        </w:rPr>
      </w:pPr>
      <w:bookmarkStart w:id="45" w:name="_Toc30488_WPSOffice_Level2"/>
      <w:bookmarkStart w:id="46" w:name="_Toc70450312"/>
      <w:r>
        <w:rPr>
          <w:rStyle w:val="17"/>
          <w:rFonts w:hint="eastAsia" w:ascii="仿宋" w:hAnsi="仿宋" w:eastAsia="仿宋"/>
          <w:b/>
          <w:bCs/>
        </w:rPr>
        <w:t>（二）资产管理情况</w:t>
      </w:r>
      <w:bookmarkEnd w:id="45"/>
      <w:bookmarkEnd w:id="46"/>
    </w:p>
    <w:p>
      <w:pPr>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7"/>
          <w:rFonts w:ascii="仿宋_GB2312" w:hAnsi="宋体" w:eastAsia="仿宋_GB2312"/>
          <w:b w:val="0"/>
          <w:spacing w:val="-4"/>
          <w:sz w:val="28"/>
          <w:szCs w:val="28"/>
        </w:rPr>
      </w:pPr>
    </w:p>
    <w:p>
      <w:pPr>
        <w:pStyle w:val="3"/>
        <w:spacing w:line="360" w:lineRule="auto"/>
        <w:rPr>
          <w:rFonts w:ascii="仿宋" w:hAnsi="仿宋" w:eastAsia="仿宋"/>
          <w:sz w:val="36"/>
          <w:szCs w:val="36"/>
        </w:rPr>
      </w:pPr>
      <w:bookmarkStart w:id="47" w:name="_Toc70450313"/>
      <w:bookmarkStart w:id="48" w:name="_Toc1111_WPSOffice_Level1"/>
      <w:r>
        <w:rPr>
          <w:rFonts w:hint="eastAsia" w:ascii="仿宋" w:hAnsi="仿宋" w:eastAsia="仿宋"/>
          <w:sz w:val="36"/>
          <w:szCs w:val="36"/>
        </w:rPr>
        <w:t>五、部门单位整体支出绩效情况</w:t>
      </w:r>
      <w:bookmarkEnd w:id="47"/>
      <w:bookmarkEnd w:id="48"/>
    </w:p>
    <w:p>
      <w:pPr>
        <w:pStyle w:val="4"/>
        <w:spacing w:line="360" w:lineRule="auto"/>
        <w:ind w:firstLine="643" w:firstLineChars="200"/>
        <w:rPr>
          <w:rStyle w:val="17"/>
          <w:rFonts w:ascii="仿宋" w:hAnsi="仿宋" w:eastAsia="仿宋"/>
          <w:b/>
          <w:bCs/>
        </w:rPr>
      </w:pPr>
      <w:bookmarkStart w:id="49" w:name="_Toc70450314"/>
      <w:bookmarkStart w:id="50" w:name="_Toc13694_WPSOffice_Level2"/>
      <w:r>
        <w:rPr>
          <w:rStyle w:val="17"/>
          <w:rFonts w:hint="eastAsia" w:ascii="仿宋" w:hAnsi="仿宋" w:eastAsia="仿宋"/>
          <w:b/>
          <w:bCs/>
        </w:rPr>
        <w:t>（一）经济效益评价</w:t>
      </w:r>
      <w:bookmarkEnd w:id="49"/>
      <w:bookmarkEnd w:id="50"/>
    </w:p>
    <w:p>
      <w:pPr>
        <w:spacing w:line="360" w:lineRule="auto"/>
        <w:ind w:firstLine="544" w:firstLineChars="200"/>
        <w:rPr>
          <w:rStyle w:val="17"/>
          <w:rFonts w:hint="eastAsia" w:ascii="仿宋_GB2312" w:hAnsi="宋体" w:eastAsia="仿宋_GB2312" w:cs="Times New Roman"/>
          <w:b w:val="0"/>
          <w:spacing w:val="-4"/>
          <w:sz w:val="28"/>
          <w:szCs w:val="28"/>
        </w:rPr>
      </w:pPr>
      <w:r>
        <w:rPr>
          <w:rStyle w:val="17"/>
          <w:rFonts w:hint="eastAsia" w:ascii="仿宋_GB2312" w:hAnsi="宋体" w:eastAsia="仿宋_GB2312" w:cs="Times New Roman"/>
          <w:b w:val="0"/>
          <w:spacing w:val="-4"/>
          <w:sz w:val="28"/>
          <w:szCs w:val="28"/>
        </w:rPr>
        <w:t>2021年度我单位年初预算安排 227.29万元，年中调整</w:t>
      </w:r>
      <w:r>
        <w:rPr>
          <w:rStyle w:val="17"/>
          <w:rFonts w:hint="eastAsia" w:ascii="仿宋_GB2312" w:hAnsi="宋体" w:eastAsia="仿宋_GB2312" w:cs="Times New Roman"/>
          <w:b w:val="0"/>
          <w:spacing w:val="-4"/>
          <w:sz w:val="28"/>
          <w:szCs w:val="28"/>
          <w:lang w:val="en-US" w:eastAsia="zh-CN"/>
        </w:rPr>
        <w:t>70.36</w:t>
      </w:r>
      <w:r>
        <w:rPr>
          <w:rStyle w:val="17"/>
          <w:rFonts w:hint="eastAsia" w:ascii="仿宋_GB2312" w:hAnsi="宋体" w:eastAsia="仿宋_GB2312" w:cs="Times New Roman"/>
          <w:b w:val="0"/>
          <w:spacing w:val="-4"/>
          <w:sz w:val="28"/>
          <w:szCs w:val="28"/>
        </w:rPr>
        <w:t>万元，截止12月底支出297.65万元，执行率100%。</w:t>
      </w:r>
    </w:p>
    <w:p>
      <w:pPr>
        <w:spacing w:line="360" w:lineRule="auto"/>
        <w:ind w:firstLine="544" w:firstLineChars="200"/>
        <w:rPr>
          <w:rStyle w:val="17"/>
          <w:rFonts w:hint="eastAsia" w:ascii="仿宋_GB2312" w:hAnsi="宋体" w:eastAsia="仿宋_GB2312" w:cs="Times New Roman"/>
          <w:b w:val="0"/>
          <w:spacing w:val="-4"/>
          <w:sz w:val="28"/>
          <w:szCs w:val="28"/>
        </w:rPr>
      </w:pPr>
      <w:r>
        <w:rPr>
          <w:rStyle w:val="17"/>
          <w:rFonts w:hint="eastAsia" w:ascii="仿宋_GB2312" w:hAnsi="宋体" w:eastAsia="仿宋_GB2312" w:cs="Times New Roman"/>
          <w:b w:val="0"/>
          <w:spacing w:val="-4"/>
          <w:sz w:val="28"/>
          <w:szCs w:val="28"/>
        </w:rPr>
        <w:t>1、预算资金执行过程中均按照年初预算分配情况均做到专款专用，未出现资金侵、挪占情况。</w:t>
      </w:r>
    </w:p>
    <w:p>
      <w:pPr>
        <w:spacing w:line="360" w:lineRule="auto"/>
        <w:ind w:firstLine="544" w:firstLineChars="200"/>
        <w:rPr>
          <w:rStyle w:val="17"/>
          <w:rFonts w:hint="eastAsia" w:ascii="仿宋_GB2312" w:hAnsi="宋体" w:eastAsia="仿宋_GB2312" w:cs="Times New Roman"/>
          <w:b w:val="0"/>
          <w:spacing w:val="-4"/>
          <w:sz w:val="28"/>
          <w:szCs w:val="28"/>
        </w:rPr>
      </w:pPr>
      <w:r>
        <w:rPr>
          <w:rStyle w:val="17"/>
          <w:rFonts w:hint="eastAsia" w:ascii="仿宋_GB2312" w:hAnsi="宋体" w:eastAsia="仿宋_GB2312" w:cs="Times New Roman"/>
          <w:b w:val="0"/>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7"/>
          <w:rFonts w:ascii="仿宋" w:hAnsi="仿宋" w:eastAsia="仿宋"/>
          <w:b/>
          <w:bCs/>
        </w:rPr>
      </w:pPr>
      <w:bookmarkStart w:id="51" w:name="_Toc29928_WPSOffice_Level2"/>
      <w:bookmarkStart w:id="52" w:name="_Toc70450315"/>
      <w:r>
        <w:rPr>
          <w:rStyle w:val="17"/>
          <w:rFonts w:hint="eastAsia" w:ascii="仿宋" w:hAnsi="仿宋" w:eastAsia="仿宋"/>
          <w:b/>
          <w:bCs/>
        </w:rPr>
        <w:t>（二）效率性评价</w:t>
      </w:r>
      <w:bookmarkEnd w:id="51"/>
      <w:bookmarkEnd w:id="52"/>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2021年，在特克斯县财政局的大力支持和特克斯县人民政府的正确领导下，我</w:t>
      </w:r>
      <w:r>
        <w:rPr>
          <w:rStyle w:val="17"/>
          <w:rFonts w:hint="eastAsia" w:ascii="仿宋_GB2312" w:hAnsi="楷体" w:eastAsia="仿宋_GB2312"/>
          <w:b w:val="0"/>
          <w:spacing w:val="-4"/>
          <w:sz w:val="28"/>
          <w:szCs w:val="28"/>
        </w:rPr>
        <w:t>单位</w:t>
      </w:r>
      <w:r>
        <w:rPr>
          <w:rStyle w:val="17"/>
          <w:rFonts w:hint="eastAsia" w:ascii="仿宋_GB2312" w:hAnsi="宋体" w:eastAsia="仿宋_GB2312"/>
          <w:b w:val="0"/>
          <w:bCs w:val="0"/>
          <w:spacing w:val="-4"/>
          <w:sz w:val="28"/>
          <w:szCs w:val="28"/>
        </w:rPr>
        <w:t>迎难而上、务实重干，积极推动各项工作取得了新的进展，为促进经济持续健康发展与社会和谐稳定提供了有力的支撑和保障。</w:t>
      </w:r>
      <w:bookmarkStart w:id="53" w:name="_Toc70450316"/>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1：安排委员进行大会发言、小组讨论、专题议政。</w:t>
      </w:r>
    </w:p>
    <w:p>
      <w:pPr>
        <w:pStyle w:val="4"/>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2：组织委员列席政协常委会议，参加政协的调研、视察、学习考察、提案督办。</w:t>
      </w:r>
    </w:p>
    <w:p>
      <w:pPr>
        <w:pStyle w:val="4"/>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3：扩展委员与常委会、专门委员会工作渠道。</w:t>
      </w:r>
    </w:p>
    <w:p>
      <w:pPr>
        <w:pStyle w:val="4"/>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4：组织政协委员开展脱贫攻坚、经济社会发展情况的调研、政协业务发展的调研。</w:t>
      </w:r>
    </w:p>
    <w:p>
      <w:pPr>
        <w:pStyle w:val="4"/>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5：做好县委、县政府安排的重点工作。</w:t>
      </w:r>
    </w:p>
    <w:p>
      <w:pPr>
        <w:pStyle w:val="4"/>
        <w:spacing w:line="360" w:lineRule="auto"/>
        <w:ind w:firstLine="643" w:firstLineChars="200"/>
        <w:rPr>
          <w:rStyle w:val="17"/>
          <w:rFonts w:ascii="仿宋" w:hAnsi="仿宋" w:eastAsia="仿宋"/>
          <w:b/>
          <w:bCs/>
        </w:rPr>
      </w:pPr>
      <w:bookmarkStart w:id="54" w:name="_Toc22083_WPSOffice_Level2"/>
      <w:r>
        <w:rPr>
          <w:rStyle w:val="17"/>
          <w:rFonts w:hint="eastAsia" w:ascii="仿宋" w:hAnsi="仿宋" w:eastAsia="仿宋"/>
          <w:b/>
          <w:bCs/>
        </w:rPr>
        <w:t>（三）有效性评价</w:t>
      </w:r>
      <w:bookmarkEnd w:id="53"/>
      <w:bookmarkEnd w:id="54"/>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部门支出的有效性主要体现在我单位各项工作成效上，一是政协基层工作进一步夯实，二是政协委员履职能力进一步提升，三是政协联络站进一步改善，四是政协会议质量进一步提高，五是政协业务工作进一步推进，七是政协提案水平进一步增强，详细情况如下：</w:t>
      </w:r>
    </w:p>
    <w:p>
      <w:pPr>
        <w:snapToGrid w:val="0"/>
        <w:spacing w:line="360" w:lineRule="auto"/>
        <w:ind w:firstLine="560" w:firstLineChars="200"/>
        <w:rPr>
          <w:rStyle w:val="17"/>
          <w:rFonts w:ascii="仿宋_GB2312" w:eastAsia="仿宋_GB2312" w:hAnsiTheme="minorEastAsia"/>
          <w:b w:val="0"/>
          <w:spacing w:val="-4"/>
          <w:sz w:val="28"/>
          <w:szCs w:val="28"/>
        </w:rPr>
      </w:pPr>
      <w:r>
        <w:rPr>
          <w:rFonts w:hint="eastAsia" w:ascii="仿宋_GB2312" w:eastAsia="仿宋_GB2312"/>
          <w:sz w:val="28"/>
          <w:szCs w:val="36"/>
        </w:rPr>
        <w:t>中国人民政治协商会议特克斯县委员会办公室</w:t>
      </w:r>
      <w:r>
        <w:rPr>
          <w:rStyle w:val="17"/>
          <w:rFonts w:hint="eastAsia" w:ascii="仿宋_GB2312" w:eastAsia="仿宋_GB2312" w:hAnsiTheme="minorEastAsia"/>
          <w:b w:val="0"/>
          <w:spacing w:val="-4"/>
          <w:sz w:val="28"/>
          <w:szCs w:val="28"/>
        </w:rPr>
        <w:t>整体绩效目标共设置一级指标3个，二级指标6 个，三级指标14个，详细说明如下</w:t>
      </w:r>
    </w:p>
    <w:p>
      <w:pPr>
        <w:snapToGrid w:val="0"/>
        <w:spacing w:line="360" w:lineRule="auto"/>
        <w:ind w:firstLine="544" w:firstLineChars="200"/>
        <w:rPr>
          <w:rStyle w:val="17"/>
          <w:rFonts w:ascii="仿宋_GB2312" w:hAnsi="宋体" w:eastAsia="仿宋_GB2312"/>
          <w:b w:val="0"/>
          <w:spacing w:val="-4"/>
          <w:sz w:val="28"/>
          <w:szCs w:val="28"/>
        </w:rPr>
      </w:pPr>
      <w:bookmarkStart w:id="55" w:name="_Toc22083_WPSOffice_Level3"/>
      <w:r>
        <w:rPr>
          <w:rStyle w:val="17"/>
          <w:rFonts w:ascii="仿宋_GB2312" w:hAnsi="宋体" w:eastAsia="仿宋_GB2312"/>
          <w:b w:val="0"/>
          <w:spacing w:val="-4"/>
          <w:sz w:val="28"/>
          <w:szCs w:val="28"/>
        </w:rPr>
        <w:t>1</w:t>
      </w:r>
      <w:r>
        <w:rPr>
          <w:rStyle w:val="17"/>
          <w:rFonts w:hint="eastAsia" w:ascii="仿宋_GB2312" w:hAnsi="宋体" w:eastAsia="仿宋_GB2312"/>
          <w:b w:val="0"/>
          <w:spacing w:val="-4"/>
          <w:sz w:val="28"/>
          <w:szCs w:val="28"/>
        </w:rPr>
        <w:t>、数量指标：</w:t>
      </w:r>
      <w:bookmarkEnd w:id="55"/>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指标1：保障在职人员人数，指标值：&gt;=15人，实际完成值：15人 ，指标完成率100%；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：退休人员人数，指标值：&gt;=33人，实际完成值：33人，指标完成率100%；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指标3：县级政协委员、常务委员会会议，指标值：&gt;=2期，实际完成值：2期，指标完成率100%；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指标4：组织政协委员政治理论和业务培训人数；指标值：=200人 ；实际完成值：200人 ；指标完成率100%；</w:t>
      </w:r>
    </w:p>
    <w:p>
      <w:pPr>
        <w:snapToGrid w:val="0"/>
        <w:spacing w:line="360" w:lineRule="auto"/>
        <w:ind w:firstLine="544" w:firstLineChars="200"/>
        <w:rPr>
          <w:rStyle w:val="17"/>
          <w:rFonts w:ascii="仿宋_GB2312" w:hAnsi="宋体" w:eastAsia="仿宋_GB2312"/>
          <w:b w:val="0"/>
          <w:spacing w:val="-4"/>
          <w:sz w:val="28"/>
          <w:szCs w:val="28"/>
        </w:rPr>
      </w:pPr>
      <w:bookmarkStart w:id="56" w:name="_Toc25880_WPSOffice_Level3"/>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、质量指标：</w:t>
      </w:r>
      <w:bookmarkEnd w:id="56"/>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指标1：政协会议出勤率，指标值：&gt;=95% ，实际完成值：95% ，指标完成率100%；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：工资及公用经费保障率 ，指标值：&gt;=99%，实际完成值：99%，指标完成率100%；</w:t>
      </w:r>
    </w:p>
    <w:p>
      <w:pPr>
        <w:snapToGrid w:val="0"/>
        <w:spacing w:line="360" w:lineRule="auto"/>
        <w:ind w:firstLine="544" w:firstLineChars="200"/>
        <w:rPr>
          <w:rStyle w:val="17"/>
          <w:rFonts w:ascii="仿宋_GB2312" w:hAnsi="宋体" w:eastAsia="仿宋_GB2312"/>
          <w:b w:val="0"/>
          <w:spacing w:val="-4"/>
          <w:sz w:val="28"/>
          <w:szCs w:val="28"/>
        </w:rPr>
      </w:pPr>
      <w:bookmarkStart w:id="57" w:name="_Toc10968_WPSOffice_Level3"/>
      <w:r>
        <w:rPr>
          <w:rStyle w:val="17"/>
          <w:rFonts w:ascii="仿宋_GB2312" w:hAnsi="宋体" w:eastAsia="仿宋_GB2312"/>
          <w:b w:val="0"/>
          <w:spacing w:val="-4"/>
          <w:sz w:val="28"/>
          <w:szCs w:val="28"/>
        </w:rPr>
        <w:t>3</w:t>
      </w:r>
      <w:r>
        <w:rPr>
          <w:rStyle w:val="17"/>
          <w:rFonts w:hint="eastAsia" w:ascii="仿宋_GB2312" w:hAnsi="宋体" w:eastAsia="仿宋_GB2312"/>
          <w:b w:val="0"/>
          <w:spacing w:val="-4"/>
          <w:sz w:val="28"/>
          <w:szCs w:val="28"/>
        </w:rPr>
        <w:t>、时效指标：</w:t>
      </w:r>
      <w:bookmarkEnd w:id="57"/>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指标1：工资及社保发放及时性，指标值：&gt;=98%，实际完成值：98%，指标完成率100%；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：会议按时开展率 ，指标值：&gt;=99%，实际完成值：99% ，指标完成率100%；</w:t>
      </w:r>
    </w:p>
    <w:p>
      <w:pPr>
        <w:snapToGrid w:val="0"/>
        <w:spacing w:line="360" w:lineRule="auto"/>
        <w:ind w:firstLine="544" w:firstLineChars="200"/>
        <w:rPr>
          <w:rStyle w:val="17"/>
          <w:rFonts w:ascii="仿宋_GB2312" w:hAnsi="宋体" w:eastAsia="仿宋_GB2312"/>
          <w:b w:val="0"/>
          <w:spacing w:val="-4"/>
          <w:sz w:val="28"/>
          <w:szCs w:val="28"/>
        </w:rPr>
      </w:pPr>
      <w:bookmarkStart w:id="58" w:name="_Toc8717_WPSOffice_Level3"/>
      <w:r>
        <w:rPr>
          <w:rStyle w:val="17"/>
          <w:rFonts w:ascii="仿宋_GB2312" w:hAnsi="宋体" w:eastAsia="仿宋_GB2312"/>
          <w:b w:val="0"/>
          <w:spacing w:val="-4"/>
          <w:sz w:val="28"/>
          <w:szCs w:val="28"/>
        </w:rPr>
        <w:t>4</w:t>
      </w:r>
      <w:r>
        <w:rPr>
          <w:rStyle w:val="17"/>
          <w:rFonts w:hint="eastAsia" w:ascii="仿宋_GB2312" w:hAnsi="宋体" w:eastAsia="仿宋_GB2312"/>
          <w:b w:val="0"/>
          <w:spacing w:val="-4"/>
          <w:sz w:val="28"/>
          <w:szCs w:val="28"/>
        </w:rPr>
        <w:t>、成本指标：</w:t>
      </w:r>
      <w:bookmarkEnd w:id="58"/>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指标1：保障人员人均支出标准 ，指标值：&lt;=13.57万元/人 ，实际完成值：13.57万元/人 ，指标完成率100%；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：人均运转经费数 ，指标值：&lt;=1.58万元/人，实际完成值：1.58万元/人，指标完成率100%；</w:t>
      </w:r>
    </w:p>
    <w:p>
      <w:pPr>
        <w:snapToGrid w:val="0"/>
        <w:spacing w:line="360" w:lineRule="auto"/>
        <w:ind w:firstLine="544" w:firstLineChars="200"/>
        <w:rPr>
          <w:rStyle w:val="17"/>
          <w:rFonts w:ascii="仿宋_GB2312" w:hAnsi="宋体" w:eastAsia="仿宋_GB2312"/>
          <w:b w:val="0"/>
          <w:spacing w:val="-4"/>
          <w:sz w:val="28"/>
          <w:szCs w:val="28"/>
        </w:rPr>
      </w:pPr>
      <w:bookmarkStart w:id="59" w:name="_Toc17790_WPSOffice_Level3"/>
      <w:r>
        <w:rPr>
          <w:rStyle w:val="17"/>
          <w:rFonts w:ascii="仿宋_GB2312" w:hAnsi="宋体" w:eastAsia="仿宋_GB2312"/>
          <w:b w:val="0"/>
          <w:spacing w:val="-4"/>
          <w:sz w:val="28"/>
          <w:szCs w:val="28"/>
        </w:rPr>
        <w:t>5</w:t>
      </w:r>
      <w:r>
        <w:rPr>
          <w:rStyle w:val="17"/>
          <w:rFonts w:hint="eastAsia" w:ascii="仿宋_GB2312" w:hAnsi="宋体" w:eastAsia="仿宋_GB2312"/>
          <w:b w:val="0"/>
          <w:spacing w:val="-4"/>
          <w:sz w:val="28"/>
          <w:szCs w:val="28"/>
        </w:rPr>
        <w:t>、社会效益指标：</w:t>
      </w:r>
      <w:bookmarkEnd w:id="59"/>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指标1：加强乡镇政协工作指导、顺利进行有效提高 ，指标值：有效提高，实际完成值：有效提高 ，指标完成率100%；</w:t>
      </w:r>
    </w:p>
    <w:p>
      <w:pPr>
        <w:snapToGrid w:val="0"/>
        <w:spacing w:line="360" w:lineRule="auto"/>
        <w:ind w:firstLine="544" w:firstLineChars="200"/>
        <w:rPr>
          <w:rStyle w:val="17"/>
          <w:rFonts w:ascii="仿宋_GB2312" w:hAnsi="宋体" w:eastAsia="仿宋_GB2312"/>
          <w:b w:val="0"/>
          <w:spacing w:val="-4"/>
          <w:sz w:val="28"/>
          <w:szCs w:val="28"/>
        </w:rPr>
      </w:pPr>
      <w:bookmarkStart w:id="60" w:name="_Toc22702_WPSOffice_Level3"/>
      <w:r>
        <w:rPr>
          <w:rStyle w:val="17"/>
          <w:rFonts w:hint="eastAsia" w:ascii="仿宋_GB2312" w:hAnsi="宋体" w:eastAsia="仿宋_GB2312"/>
          <w:b w:val="0"/>
          <w:spacing w:val="-4"/>
          <w:sz w:val="28"/>
          <w:szCs w:val="28"/>
        </w:rPr>
        <w:t>6、满意度指标：</w:t>
      </w:r>
      <w:bookmarkEnd w:id="60"/>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指标1：上级政府部门满意度，指标值：&gt;=95% ，实际完成值：95% ，指标完成率100%；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：相关部门和单位满意度95%，指标值：&gt;=95% ，实际完成值：95% ，指标完成率100%；</w:t>
      </w:r>
    </w:p>
    <w:p>
      <w:pPr>
        <w:snapToGrid w:val="0"/>
        <w:spacing w:line="360" w:lineRule="auto"/>
        <w:ind w:firstLine="544" w:firstLineChars="200"/>
        <w:rPr>
          <w:rStyle w:val="17"/>
          <w:rFonts w:ascii="仿宋_GB2312" w:hAnsi="宋体" w:eastAsia="仿宋_GB2312"/>
          <w:b w:val="0"/>
          <w:bCs w:val="0"/>
          <w:color w:val="FF0000"/>
          <w:spacing w:val="-4"/>
          <w:sz w:val="28"/>
          <w:szCs w:val="28"/>
        </w:rPr>
      </w:pPr>
      <w:r>
        <w:rPr>
          <w:rStyle w:val="17"/>
          <w:rFonts w:hint="eastAsia" w:ascii="仿宋_GB2312" w:hAnsi="宋体" w:eastAsia="仿宋_GB2312"/>
          <w:b w:val="0"/>
          <w:spacing w:val="-4"/>
          <w:sz w:val="28"/>
          <w:szCs w:val="28"/>
        </w:rPr>
        <w:t>指标3：受训代表满意度95%，指标值：&gt;=95% ，实际完成值：95% ，指标完成率100%。</w:t>
      </w:r>
    </w:p>
    <w:p>
      <w:pPr>
        <w:pStyle w:val="3"/>
        <w:spacing w:line="360" w:lineRule="auto"/>
        <w:rPr>
          <w:rFonts w:ascii="仿宋" w:hAnsi="仿宋" w:eastAsia="仿宋"/>
          <w:sz w:val="36"/>
          <w:szCs w:val="36"/>
        </w:rPr>
      </w:pPr>
      <w:bookmarkStart w:id="61" w:name="_Toc70450317"/>
      <w:bookmarkStart w:id="62" w:name="_Toc20264_WPSOffice_Level1"/>
      <w:r>
        <w:rPr>
          <w:rFonts w:hint="eastAsia" w:ascii="仿宋" w:hAnsi="仿宋" w:eastAsia="仿宋"/>
          <w:sz w:val="36"/>
          <w:szCs w:val="36"/>
        </w:rPr>
        <w:t>六、存在的主要问题</w:t>
      </w:r>
      <w:bookmarkEnd w:id="61"/>
      <w:bookmarkEnd w:id="62"/>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(一)预算执行存在偏差</w:t>
      </w:r>
    </w:p>
    <w:p>
      <w:pPr>
        <w:pStyle w:val="13"/>
        <w:widowControl/>
        <w:spacing w:before="40" w:beforeAutospacing="0" w:after="0" w:afterAutospacing="0" w:line="520" w:lineRule="atLeast"/>
        <w:ind w:firstLine="52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0"/>
        <w:numPr>
          <w:ilvl w:val="0"/>
          <w:numId w:val="2"/>
        </w:numPr>
        <w:spacing w:line="560" w:lineRule="exact"/>
        <w:ind w:firstLine="530" w:firstLineChars="195"/>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项目细化管理工作不足。办公经费包含小类项目较多，主要是办公用品、劳务费等，在执行过程中，办公用品费、劳务费的使用范围并不能把握到位，造成项目遇到各种不确定因素，财政资金无法发挥最大使用效益。</w:t>
      </w:r>
    </w:p>
    <w:p>
      <w:pPr>
        <w:pStyle w:val="30"/>
        <w:spacing w:line="560" w:lineRule="exact"/>
        <w:ind w:firstLine="544" w:firstLineChars="200"/>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3"/>
        <w:widowControl/>
        <w:spacing w:before="40" w:beforeAutospacing="0" w:after="0" w:afterAutospacing="0" w:line="520" w:lineRule="atLeast"/>
        <w:ind w:firstLine="272" w:firstLineChars="1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（四）固定资产管理水平有待提高</w:t>
      </w:r>
    </w:p>
    <w:p>
      <w:pPr>
        <w:pStyle w:val="13"/>
        <w:widowControl/>
        <w:spacing w:before="40" w:beforeAutospacing="0" w:after="0" w:afterAutospacing="0" w:line="520" w:lineRule="atLeast"/>
        <w:ind w:firstLine="52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rPr>
      </w:pPr>
      <w:bookmarkStart w:id="63" w:name="_Toc23671_WPSOffice_Level1"/>
      <w:bookmarkStart w:id="64" w:name="_Toc70450318"/>
      <w:r>
        <w:rPr>
          <w:rFonts w:hint="eastAsia" w:ascii="仿宋" w:hAnsi="仿宋" w:eastAsia="仿宋"/>
          <w:sz w:val="36"/>
          <w:szCs w:val="36"/>
        </w:rPr>
        <w:t>七、改进措施和建议</w:t>
      </w:r>
      <w:bookmarkEnd w:id="63"/>
      <w:bookmarkEnd w:id="64"/>
    </w:p>
    <w:p>
      <w:pPr>
        <w:pStyle w:val="4"/>
        <w:spacing w:line="360" w:lineRule="auto"/>
        <w:rPr>
          <w:rStyle w:val="17"/>
          <w:rFonts w:ascii="仿宋" w:hAnsi="仿宋" w:eastAsia="仿宋"/>
          <w:b/>
          <w:bCs/>
        </w:rPr>
      </w:pPr>
      <w:bookmarkStart w:id="65" w:name="_Toc70450319"/>
      <w:bookmarkStart w:id="66" w:name="_Toc25880_WPSOffice_Level2"/>
      <w:r>
        <w:rPr>
          <w:rStyle w:val="17"/>
          <w:rFonts w:hint="eastAsia" w:ascii="仿宋" w:hAnsi="仿宋" w:eastAsia="仿宋"/>
          <w:b/>
          <w:bCs/>
        </w:rPr>
        <w:t>（一）改进措施</w:t>
      </w:r>
      <w:bookmarkEnd w:id="65"/>
      <w:bookmarkEnd w:id="66"/>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(2)完善管理制度,进-步加强资产管理。严格按照《固定资产管理办法》的规定，加强固定资产管理,及时登记、更新台账，加强资产卡片管理,对各类实物资产进行全面盘点,确保账账、账实相符。</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（3）加强学习。进一步明确如何参照考核体系，科学合理设定绩效目标，充分发挥预算绩效管理工作效用。</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（4）财务上，会计核算要更加详细，为本单位各项工作的开展、总结、评估提供有效数据资料支撑,为各项业务工作更好的开展提供帮助。</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（5）从源头上强化对专项资金预算管理。实行专项资金预算管理，结合单位实际, 按轻重缓急统筹安排编制预算,提高预算编制科学性和合理性,优化资金结构。</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（6）按时间进度分解资金使用计划。专项资金的使用，要事前做计划，事中进行控制，事后总结提高。合理安排资金使用,充分体现资金投向的目标和效益。</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7）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bookmarkStart w:id="67" w:name="_Toc70450320"/>
    </w:p>
    <w:p>
      <w:pPr>
        <w:pStyle w:val="13"/>
        <w:widowControl/>
        <w:spacing w:before="40" w:beforeAutospacing="0" w:after="0" w:afterAutospacing="0" w:line="520" w:lineRule="atLeast"/>
        <w:ind w:firstLine="643" w:firstLineChars="200"/>
        <w:jc w:val="both"/>
        <w:rPr>
          <w:rStyle w:val="17"/>
          <w:rFonts w:ascii="仿宋" w:hAnsi="仿宋" w:eastAsia="仿宋" w:cstheme="minorBidi"/>
          <w:sz w:val="32"/>
          <w:szCs w:val="32"/>
        </w:rPr>
      </w:pPr>
      <w:bookmarkStart w:id="68" w:name="_Toc10968_WPSOffice_Level2"/>
      <w:r>
        <w:rPr>
          <w:rStyle w:val="17"/>
          <w:rFonts w:hint="eastAsia" w:ascii="仿宋" w:hAnsi="仿宋" w:eastAsia="仿宋" w:cstheme="minorBidi"/>
          <w:sz w:val="32"/>
          <w:szCs w:val="32"/>
        </w:rPr>
        <w:t>（二）建议</w:t>
      </w:r>
      <w:bookmarkEnd w:id="67"/>
      <w:bookmarkEnd w:id="68"/>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7"/>
          <w:rFonts w:ascii="仿宋" w:hAnsi="仿宋" w:eastAsia="仿宋"/>
          <w:b/>
          <w:bCs/>
          <w:sz w:val="36"/>
          <w:szCs w:val="36"/>
        </w:rPr>
      </w:pPr>
      <w:bookmarkStart w:id="69" w:name="_Toc6072_WPSOffice_Level1"/>
      <w:bookmarkStart w:id="70" w:name="_Toc70450321"/>
      <w:r>
        <w:rPr>
          <w:rStyle w:val="17"/>
          <w:rFonts w:hint="eastAsia" w:ascii="仿宋" w:hAnsi="仿宋" w:eastAsia="仿宋"/>
          <w:b/>
          <w:bCs/>
          <w:sz w:val="36"/>
          <w:szCs w:val="36"/>
        </w:rPr>
        <w:t>八、附表</w:t>
      </w:r>
      <w:r>
        <w:rPr>
          <w:rStyle w:val="17"/>
          <w:rFonts w:hint="eastAsia" w:ascii="仿宋" w:hAnsi="仿宋" w:eastAsia="仿宋"/>
          <w:b w:val="0"/>
          <w:bCs w:val="0"/>
          <w:spacing w:val="-4"/>
          <w:sz w:val="36"/>
          <w:szCs w:val="36"/>
        </w:rPr>
        <w:t>：</w:t>
      </w:r>
      <w:bookmarkStart w:id="71" w:name="_Hlk70450148"/>
      <w:r>
        <w:rPr>
          <w:rStyle w:val="17"/>
          <w:rFonts w:hint="eastAsia" w:ascii="仿宋" w:hAnsi="仿宋" w:eastAsia="仿宋"/>
          <w:b/>
          <w:bCs/>
          <w:sz w:val="36"/>
          <w:szCs w:val="36"/>
        </w:rPr>
        <w:t>《部门整体支出绩效目标自评表》</w:t>
      </w:r>
      <w:bookmarkEnd w:id="69"/>
      <w:bookmarkEnd w:id="70"/>
      <w:bookmarkEnd w:id="71"/>
    </w:p>
    <w:p>
      <w:r>
        <w:br w:type="page"/>
      </w:r>
    </w:p>
    <w:tbl>
      <w:tblPr>
        <w:tblStyle w:val="15"/>
        <w:tblW w:w="10065" w:type="dxa"/>
        <w:tblInd w:w="-1146" w:type="dxa"/>
        <w:tblLayout w:type="fixed"/>
        <w:tblCellMar>
          <w:top w:w="0" w:type="dxa"/>
          <w:left w:w="108" w:type="dxa"/>
          <w:bottom w:w="0" w:type="dxa"/>
          <w:right w:w="108" w:type="dxa"/>
        </w:tblCellMar>
      </w:tblPr>
      <w:tblGrid>
        <w:gridCol w:w="1155"/>
        <w:gridCol w:w="1391"/>
        <w:gridCol w:w="240"/>
        <w:gridCol w:w="1039"/>
        <w:gridCol w:w="1125"/>
        <w:gridCol w:w="1140"/>
        <w:gridCol w:w="795"/>
        <w:gridCol w:w="1035"/>
        <w:gridCol w:w="1125"/>
        <w:gridCol w:w="960"/>
        <w:gridCol w:w="60"/>
      </w:tblGrid>
      <w:tr>
        <w:tblPrEx>
          <w:tblCellMar>
            <w:top w:w="0" w:type="dxa"/>
            <w:left w:w="108" w:type="dxa"/>
            <w:bottom w:w="0" w:type="dxa"/>
            <w:right w:w="108" w:type="dxa"/>
          </w:tblCellMar>
        </w:tblPrEx>
        <w:trPr>
          <w:gridAfter w:val="1"/>
          <w:wAfter w:w="60" w:type="dxa"/>
          <w:trHeight w:val="405" w:hRule="atLeast"/>
        </w:trPr>
        <w:tc>
          <w:tcPr>
            <w:tcW w:w="10005"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gridAfter w:val="1"/>
          <w:wAfter w:w="60" w:type="dxa"/>
          <w:trHeight w:val="285" w:hRule="atLeast"/>
        </w:trPr>
        <w:tc>
          <w:tcPr>
            <w:tcW w:w="10005"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hint="eastAsia" w:ascii="Times New Roman" w:hAnsi="Times New Roman" w:eastAsia="宋体" w:cs="Times New Roman"/>
                <w:kern w:val="0"/>
                <w:sz w:val="24"/>
              </w:rPr>
              <w:t>2021</w:t>
            </w:r>
            <w:r>
              <w:rPr>
                <w:rFonts w:ascii="Times New Roman" w:hAnsi="Times New Roman" w:eastAsia="宋体" w:cs="Times New Roman"/>
                <w:kern w:val="0"/>
                <w:sz w:val="24"/>
              </w:rPr>
              <w:t xml:space="preserve"> </w:t>
            </w:r>
            <w:r>
              <w:rPr>
                <w:rFonts w:hint="eastAsia" w:ascii="宋体" w:hAnsi="宋体" w:eastAsia="宋体" w:cs="宋体"/>
                <w:kern w:val="0"/>
                <w:sz w:val="24"/>
              </w:rPr>
              <w:t>年度）</w:t>
            </w:r>
          </w:p>
        </w:tc>
      </w:tr>
      <w:tr>
        <w:tblPrEx>
          <w:tblCellMar>
            <w:top w:w="0" w:type="dxa"/>
            <w:left w:w="108" w:type="dxa"/>
            <w:bottom w:w="0" w:type="dxa"/>
            <w:right w:w="108" w:type="dxa"/>
          </w:tblCellMar>
        </w:tblPrEx>
        <w:trPr>
          <w:gridAfter w:val="1"/>
          <w:wAfter w:w="60" w:type="dxa"/>
          <w:trHeight w:val="285" w:hRule="atLeast"/>
        </w:trPr>
        <w:tc>
          <w:tcPr>
            <w:tcW w:w="115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391"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4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39"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2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4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9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3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2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9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gridAfter w:val="1"/>
          <w:wAfter w:w="60" w:type="dxa"/>
          <w:trHeight w:val="285" w:hRule="atLeast"/>
        </w:trPr>
        <w:tc>
          <w:tcPr>
            <w:tcW w:w="2786"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721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r>
      <w:tr>
        <w:tblPrEx>
          <w:tblCellMar>
            <w:top w:w="0" w:type="dxa"/>
            <w:left w:w="108" w:type="dxa"/>
            <w:bottom w:w="0" w:type="dxa"/>
            <w:right w:w="108" w:type="dxa"/>
          </w:tblCellMar>
        </w:tblPrEx>
        <w:trPr>
          <w:gridAfter w:val="1"/>
          <w:wAfter w:w="60" w:type="dxa"/>
          <w:trHeight w:val="285" w:hRule="atLeast"/>
        </w:trPr>
        <w:tc>
          <w:tcPr>
            <w:tcW w:w="11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1631"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10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30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312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31"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0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7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3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任务1</w:t>
            </w:r>
          </w:p>
        </w:tc>
        <w:tc>
          <w:tcPr>
            <w:tcW w:w="1039"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用于保障部门单位人员发放工作福利支出及对个人和家庭补助</w:t>
            </w:r>
          </w:p>
        </w:tc>
        <w:tc>
          <w:tcPr>
            <w:tcW w:w="112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203.54　</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203.54</w:t>
            </w:r>
          </w:p>
        </w:tc>
        <w:tc>
          <w:tcPr>
            <w:tcW w:w="7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val="en-US" w:eastAsia="zh-CN"/>
              </w:rPr>
              <w:t>0</w:t>
            </w:r>
            <w:r>
              <w:rPr>
                <w:rFonts w:hint="eastAsia" w:ascii="宋体" w:hAnsi="宋体" w:eastAsia="宋体" w:cs="宋体"/>
                <w:kern w:val="0"/>
                <w:sz w:val="24"/>
              </w:rPr>
              <w:t>　</w:t>
            </w:r>
          </w:p>
        </w:tc>
        <w:tc>
          <w:tcPr>
            <w:tcW w:w="103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203.54　</w:t>
            </w:r>
          </w:p>
        </w:tc>
        <w:tc>
          <w:tcPr>
            <w:tcW w:w="112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203.54</w:t>
            </w:r>
          </w:p>
        </w:tc>
        <w:tc>
          <w:tcPr>
            <w:tcW w:w="9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63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任务2</w:t>
            </w:r>
          </w:p>
        </w:tc>
        <w:tc>
          <w:tcPr>
            <w:tcW w:w="1039"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用于日常办公费、取暖费、三公经费、工会经费、福利费及其他商品和服务　</w:t>
            </w:r>
          </w:p>
        </w:tc>
        <w:tc>
          <w:tcPr>
            <w:tcW w:w="112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23.75</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23.75</w:t>
            </w:r>
          </w:p>
        </w:tc>
        <w:tc>
          <w:tcPr>
            <w:tcW w:w="795"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0</w:t>
            </w:r>
          </w:p>
        </w:tc>
        <w:tc>
          <w:tcPr>
            <w:tcW w:w="103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23.75</w:t>
            </w:r>
          </w:p>
        </w:tc>
        <w:tc>
          <w:tcPr>
            <w:tcW w:w="112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23.75</w:t>
            </w:r>
          </w:p>
        </w:tc>
        <w:tc>
          <w:tcPr>
            <w:tcW w:w="9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gridAfter w:val="1"/>
          <w:wAfter w:w="60" w:type="dxa"/>
          <w:trHeight w:val="837"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670"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金额合计</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227.29</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227.29</w:t>
            </w:r>
          </w:p>
        </w:tc>
        <w:tc>
          <w:tcPr>
            <w:tcW w:w="7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227.29</w:t>
            </w:r>
          </w:p>
        </w:tc>
        <w:tc>
          <w:tcPr>
            <w:tcW w:w="112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227.29</w:t>
            </w:r>
          </w:p>
        </w:tc>
        <w:tc>
          <w:tcPr>
            <w:tcW w:w="96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w:t>
            </w:r>
          </w:p>
        </w:tc>
      </w:tr>
      <w:tr>
        <w:tblPrEx>
          <w:tblCellMar>
            <w:top w:w="0" w:type="dxa"/>
            <w:left w:w="108" w:type="dxa"/>
            <w:bottom w:w="0" w:type="dxa"/>
            <w:right w:w="108" w:type="dxa"/>
          </w:tblCellMar>
        </w:tblPrEx>
        <w:trPr>
          <w:gridAfter w:val="1"/>
          <w:wAfter w:w="60" w:type="dxa"/>
          <w:trHeight w:val="762" w:hRule="atLeast"/>
        </w:trPr>
        <w:tc>
          <w:tcPr>
            <w:tcW w:w="115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3795"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505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CellMar>
            <w:top w:w="0" w:type="dxa"/>
            <w:left w:w="108" w:type="dxa"/>
            <w:bottom w:w="0" w:type="dxa"/>
            <w:right w:w="108" w:type="dxa"/>
          </w:tblCellMar>
        </w:tblPrEx>
        <w:trPr>
          <w:gridAfter w:val="1"/>
          <w:wAfter w:w="60" w:type="dxa"/>
          <w:trHeight w:val="2070" w:hRule="atLeast"/>
        </w:trPr>
        <w:tc>
          <w:tcPr>
            <w:tcW w:w="115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3795" w:type="dxa"/>
            <w:gridSpan w:val="4"/>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1：安排委员进行大会发言、小组讨论、专题议政。目标2：组织委员列席政协常委会议，参加政协的调研、视察、学习考察、提案督办。目标3：扩展委员与常委会、专门委员会工作渠道。目标4：组织政协委员开展脱贫攻坚、经济社会发展情况的调研、政协业务发展的调研。目标5：做好县委、县政府安排的重点工作。</w:t>
            </w:r>
          </w:p>
        </w:tc>
        <w:tc>
          <w:tcPr>
            <w:tcW w:w="5055"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1：安排委员进行大会发言、小组讨论、专题议政。目标2：组织委员列席政协常委会议，参加政协的调研、视察、学习考察、提案督办。目标3：扩展委员与常委会、专门委员会工作渠道。目标4：组织政协委员开展脱贫攻坚、经济社会发展情况的调研、政协业务发展的调研。目标5：做好县委、县政府安排的重点工作。</w:t>
            </w:r>
          </w:p>
        </w:tc>
      </w:tr>
      <w:tr>
        <w:tblPrEx>
          <w:tblCellMar>
            <w:top w:w="0" w:type="dxa"/>
            <w:left w:w="108" w:type="dxa"/>
            <w:bottom w:w="0" w:type="dxa"/>
            <w:right w:w="108" w:type="dxa"/>
          </w:tblCellMar>
        </w:tblPrEx>
        <w:trPr>
          <w:gridAfter w:val="1"/>
          <w:wAfter w:w="60" w:type="dxa"/>
          <w:trHeight w:val="885" w:hRule="atLeast"/>
        </w:trPr>
        <w:tc>
          <w:tcPr>
            <w:tcW w:w="11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13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127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22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183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208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1279" w:type="dxa"/>
            <w:gridSpan w:val="2"/>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指标1：保障在职人员人数</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tabs>
                <w:tab w:val="left" w:pos="387"/>
              </w:tabs>
              <w:jc w:val="center"/>
              <w:rPr>
                <w:rFonts w:ascii="宋体" w:hAnsi="宋体" w:eastAsia="宋体" w:cs="宋体"/>
                <w:kern w:val="0"/>
                <w:sz w:val="24"/>
              </w:rPr>
            </w:pPr>
            <w:r>
              <w:rPr>
                <w:rFonts w:hint="eastAsia" w:ascii="宋体" w:hAnsi="宋体" w:eastAsia="宋体" w:cs="宋体"/>
                <w:kern w:val="0"/>
                <w:sz w:val="24"/>
              </w:rPr>
              <w:t>&gt;=15人</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15人</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continue"/>
            <w:tcBorders>
              <w:left w:val="single" w:color="auto" w:sz="4" w:space="0"/>
              <w:right w:val="single" w:color="000000" w:sz="4" w:space="0"/>
            </w:tcBorders>
            <w:vAlign w:val="center"/>
          </w:tcPr>
          <w:p>
            <w:pPr>
              <w:widowControl/>
              <w:jc w:val="left"/>
              <w:rPr>
                <w:rFonts w:ascii="宋体" w:hAnsi="宋体" w:eastAsia="宋体" w:cs="宋体"/>
                <w:kern w:val="0"/>
                <w:sz w:val="24"/>
              </w:rPr>
            </w:pP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指标2：退休人员人数</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&gt;=33人</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33人</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continue"/>
            <w:tcBorders>
              <w:left w:val="single" w:color="auto" w:sz="4" w:space="0"/>
              <w:right w:val="single" w:color="000000" w:sz="4" w:space="0"/>
            </w:tcBorders>
            <w:vAlign w:val="center"/>
          </w:tcPr>
          <w:p>
            <w:pPr>
              <w:widowControl/>
              <w:jc w:val="left"/>
              <w:rPr>
                <w:rFonts w:ascii="宋体" w:hAnsi="宋体" w:eastAsia="宋体" w:cs="宋体"/>
                <w:kern w:val="0"/>
                <w:sz w:val="24"/>
              </w:rPr>
            </w:pP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指标3：县级政协委员、常务委员会会议</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&gt;=2期</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2期</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continue"/>
            <w:tcBorders>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指标4：组织政协委员政治理论和业务培训人数</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&gt;=200人</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200人</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指标1：政协会议出勤率</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&gt;=95%</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95%</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指标2：工资及公用经费保障率</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&gt;=99%</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99%</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指标1：工资及社保发放及时性</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&gt;=98%</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98%</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指标2：会议按时开展率</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&gt;=99%</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99%</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指标1：保障人员人均支出标准</w:t>
            </w:r>
          </w:p>
        </w:tc>
        <w:tc>
          <w:tcPr>
            <w:tcW w:w="183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&lt;</w:t>
            </w:r>
            <w:r>
              <w:rPr>
                <w:rFonts w:hint="eastAsia" w:ascii="宋体" w:hAnsi="宋体" w:eastAsia="宋体" w:cs="宋体"/>
                <w:color w:val="000000"/>
                <w:kern w:val="0"/>
                <w:sz w:val="22"/>
                <w:szCs w:val="22"/>
              </w:rPr>
              <w:t>=13.57万元/人</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13.57万元/人</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指标2：人均运转经费数</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&lt;=1.58万元/人</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1.58万元/人</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指标1：加强乡镇政协工作指导、顺利进行</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有效提高</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有效提高</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279" w:type="dxa"/>
            <w:gridSpan w:val="2"/>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p>
            <w:pPr>
              <w:widowControl/>
              <w:rPr>
                <w:rFonts w:ascii="宋体" w:hAnsi="宋体" w:eastAsia="宋体" w:cs="宋体"/>
                <w:kern w:val="0"/>
                <w:sz w:val="24"/>
              </w:rPr>
            </w:pP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指标1：上级政府部门满意度</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&gt;=95%</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95%</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continue"/>
            <w:tcBorders>
              <w:left w:val="single" w:color="auto" w:sz="4" w:space="0"/>
              <w:right w:val="single" w:color="000000" w:sz="4" w:space="0"/>
            </w:tcBorders>
            <w:vAlign w:val="center"/>
          </w:tcPr>
          <w:p>
            <w:pPr>
              <w:widowControl/>
              <w:jc w:val="left"/>
              <w:rPr>
                <w:rFonts w:ascii="宋体" w:hAnsi="宋体" w:eastAsia="宋体" w:cs="宋体"/>
                <w:kern w:val="0"/>
                <w:sz w:val="24"/>
              </w:rPr>
            </w:pP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指标2：相关部门和单位满意度</w:t>
            </w:r>
          </w:p>
        </w:tc>
        <w:tc>
          <w:tcPr>
            <w:tcW w:w="18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&gt;=95%</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95%</w:t>
            </w:r>
          </w:p>
        </w:tc>
      </w:tr>
      <w:tr>
        <w:tblPrEx>
          <w:tblCellMar>
            <w:top w:w="0" w:type="dxa"/>
            <w:left w:w="108" w:type="dxa"/>
            <w:bottom w:w="0" w:type="dxa"/>
            <w:right w:w="108" w:type="dxa"/>
          </w:tblCellMar>
        </w:tblPrEx>
        <w:trPr>
          <w:gridAfter w:val="1"/>
          <w:wAfter w:w="60" w:type="dxa"/>
          <w:trHeight w:val="285" w:hRule="atLeast"/>
        </w:trPr>
        <w:tc>
          <w:tcPr>
            <w:tcW w:w="11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39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279" w:type="dxa"/>
            <w:gridSpan w:val="2"/>
            <w:vMerge w:val="continue"/>
            <w:tcBorders>
              <w:left w:val="single" w:color="auto" w:sz="4" w:space="0"/>
              <w:right w:val="single" w:color="000000" w:sz="4" w:space="0"/>
            </w:tcBorders>
            <w:vAlign w:val="center"/>
          </w:tcPr>
          <w:p>
            <w:pPr>
              <w:widowControl/>
              <w:jc w:val="left"/>
              <w:rPr>
                <w:rFonts w:ascii="宋体" w:hAnsi="宋体" w:eastAsia="宋体" w:cs="宋体"/>
                <w:kern w:val="0"/>
                <w:sz w:val="24"/>
              </w:rPr>
            </w:pPr>
          </w:p>
        </w:tc>
        <w:tc>
          <w:tcPr>
            <w:tcW w:w="226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指标3：受训代表满意度</w:t>
            </w:r>
          </w:p>
        </w:tc>
        <w:tc>
          <w:tcPr>
            <w:tcW w:w="1830" w:type="dxa"/>
            <w:gridSpan w:val="2"/>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&gt;=95%</w:t>
            </w:r>
          </w:p>
          <w:p>
            <w:pPr>
              <w:widowControl/>
              <w:jc w:val="left"/>
              <w:rPr>
                <w:rFonts w:ascii="宋体" w:hAnsi="宋体" w:eastAsia="宋体" w:cs="宋体"/>
                <w:kern w:val="0"/>
                <w:sz w:val="24"/>
              </w:rPr>
            </w:pPr>
            <w:r>
              <w:rPr>
                <w:rFonts w:hint="eastAsia" w:ascii="宋体" w:hAnsi="宋体" w:eastAsia="宋体" w:cs="宋体"/>
                <w:kern w:val="0"/>
                <w:sz w:val="24"/>
              </w:rPr>
              <w:t>　</w:t>
            </w:r>
          </w:p>
        </w:tc>
        <w:tc>
          <w:tcPr>
            <w:tcW w:w="208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95%</w:t>
            </w:r>
          </w:p>
        </w:tc>
      </w:tr>
    </w:tbl>
    <w:p>
      <w:pPr>
        <w:spacing w:line="20" w:lineRule="exact"/>
        <w:rPr>
          <w:rFonts w:ascii="仿宋" w:hAnsi="仿宋" w:eastAsia="仿宋" w:cs="宋体"/>
          <w:color w:val="333333"/>
          <w:sz w:val="32"/>
          <w:szCs w:val="32"/>
        </w:rPr>
      </w:pPr>
    </w:p>
    <w:sectPr>
      <w:headerReference r:id="rId3" w:type="default"/>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5 -</w:t>
        </w:r>
        <w:r>
          <w:rPr>
            <w:rFonts w:asciiTheme="minorEastAsia" w:hAnsiTheme="minorEastAsia"/>
            <w:sz w:val="28"/>
            <w:szCs w:val="28"/>
          </w:rP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I1MDZlYmI5MDk0MTg0NGQ5YjU3MzZhZWMwZGE3NjIifQ=="/>
  </w:docVars>
  <w:rsids>
    <w:rsidRoot w:val="00633862"/>
    <w:rsid w:val="00025A44"/>
    <w:rsid w:val="00052C15"/>
    <w:rsid w:val="00072084"/>
    <w:rsid w:val="0009422A"/>
    <w:rsid w:val="000B6B13"/>
    <w:rsid w:val="000D1DEE"/>
    <w:rsid w:val="000D3AFA"/>
    <w:rsid w:val="00105D60"/>
    <w:rsid w:val="001121F2"/>
    <w:rsid w:val="00112859"/>
    <w:rsid w:val="001173EB"/>
    <w:rsid w:val="00150C4C"/>
    <w:rsid w:val="00191BA3"/>
    <w:rsid w:val="001A2299"/>
    <w:rsid w:val="001A3A0E"/>
    <w:rsid w:val="001D5B2F"/>
    <w:rsid w:val="001F630E"/>
    <w:rsid w:val="0022744B"/>
    <w:rsid w:val="00234372"/>
    <w:rsid w:val="00234B37"/>
    <w:rsid w:val="00246180"/>
    <w:rsid w:val="00246941"/>
    <w:rsid w:val="002569E4"/>
    <w:rsid w:val="002764C7"/>
    <w:rsid w:val="002D075E"/>
    <w:rsid w:val="00303A08"/>
    <w:rsid w:val="0030414A"/>
    <w:rsid w:val="003226C4"/>
    <w:rsid w:val="0033551A"/>
    <w:rsid w:val="00385646"/>
    <w:rsid w:val="003D75A8"/>
    <w:rsid w:val="003E3DEF"/>
    <w:rsid w:val="003E7C70"/>
    <w:rsid w:val="004657A7"/>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B2FA5"/>
    <w:rsid w:val="006C5BED"/>
    <w:rsid w:val="006D3947"/>
    <w:rsid w:val="00702D4A"/>
    <w:rsid w:val="007115C8"/>
    <w:rsid w:val="00713ADC"/>
    <w:rsid w:val="00725B9A"/>
    <w:rsid w:val="00754721"/>
    <w:rsid w:val="007713F8"/>
    <w:rsid w:val="007A7491"/>
    <w:rsid w:val="007A7874"/>
    <w:rsid w:val="007C10F5"/>
    <w:rsid w:val="00800784"/>
    <w:rsid w:val="00801598"/>
    <w:rsid w:val="00813157"/>
    <w:rsid w:val="00817432"/>
    <w:rsid w:val="00853C3C"/>
    <w:rsid w:val="008614D8"/>
    <w:rsid w:val="00875327"/>
    <w:rsid w:val="00886879"/>
    <w:rsid w:val="00890FC2"/>
    <w:rsid w:val="008A55CE"/>
    <w:rsid w:val="008E3F8A"/>
    <w:rsid w:val="00923468"/>
    <w:rsid w:val="00952782"/>
    <w:rsid w:val="0095580D"/>
    <w:rsid w:val="0097614B"/>
    <w:rsid w:val="00992D45"/>
    <w:rsid w:val="00994865"/>
    <w:rsid w:val="009A1625"/>
    <w:rsid w:val="009B52F3"/>
    <w:rsid w:val="009E5FF8"/>
    <w:rsid w:val="009F06F4"/>
    <w:rsid w:val="00A05135"/>
    <w:rsid w:val="00A43D21"/>
    <w:rsid w:val="00A55238"/>
    <w:rsid w:val="00A615BE"/>
    <w:rsid w:val="00AA5126"/>
    <w:rsid w:val="00AC4471"/>
    <w:rsid w:val="00AD16CD"/>
    <w:rsid w:val="00AF42EB"/>
    <w:rsid w:val="00B130FE"/>
    <w:rsid w:val="00B34A48"/>
    <w:rsid w:val="00B407C3"/>
    <w:rsid w:val="00B666A1"/>
    <w:rsid w:val="00BA1454"/>
    <w:rsid w:val="00BE2205"/>
    <w:rsid w:val="00C04202"/>
    <w:rsid w:val="00C42609"/>
    <w:rsid w:val="00C4673D"/>
    <w:rsid w:val="00C76454"/>
    <w:rsid w:val="00C81F75"/>
    <w:rsid w:val="00C94ED3"/>
    <w:rsid w:val="00CA32F7"/>
    <w:rsid w:val="00CB1C9D"/>
    <w:rsid w:val="00CC7606"/>
    <w:rsid w:val="00CD2F35"/>
    <w:rsid w:val="00CE16E7"/>
    <w:rsid w:val="00CE61DB"/>
    <w:rsid w:val="00D03DC7"/>
    <w:rsid w:val="00D22D73"/>
    <w:rsid w:val="00D26F3D"/>
    <w:rsid w:val="00D278CF"/>
    <w:rsid w:val="00D77626"/>
    <w:rsid w:val="00D818E1"/>
    <w:rsid w:val="00D81EE2"/>
    <w:rsid w:val="00DA67B8"/>
    <w:rsid w:val="00DB1085"/>
    <w:rsid w:val="00DD223C"/>
    <w:rsid w:val="00E01664"/>
    <w:rsid w:val="00E213C7"/>
    <w:rsid w:val="00E23250"/>
    <w:rsid w:val="00E41A31"/>
    <w:rsid w:val="00E51204"/>
    <w:rsid w:val="00E6405A"/>
    <w:rsid w:val="00E7188B"/>
    <w:rsid w:val="00EB1A74"/>
    <w:rsid w:val="00F006BD"/>
    <w:rsid w:val="00F17550"/>
    <w:rsid w:val="00F25BE6"/>
    <w:rsid w:val="00F27120"/>
    <w:rsid w:val="00F341E0"/>
    <w:rsid w:val="00F36401"/>
    <w:rsid w:val="00F42445"/>
    <w:rsid w:val="00F44FCC"/>
    <w:rsid w:val="00F74974"/>
    <w:rsid w:val="00F829DE"/>
    <w:rsid w:val="00F84215"/>
    <w:rsid w:val="00F91CBB"/>
    <w:rsid w:val="00F94975"/>
    <w:rsid w:val="00FE634A"/>
    <w:rsid w:val="01031ADD"/>
    <w:rsid w:val="0D401FE6"/>
    <w:rsid w:val="0D7C2BB3"/>
    <w:rsid w:val="0E9A5E97"/>
    <w:rsid w:val="0F791B7D"/>
    <w:rsid w:val="13B24F1C"/>
    <w:rsid w:val="185027E0"/>
    <w:rsid w:val="1EB60E4D"/>
    <w:rsid w:val="1FC07974"/>
    <w:rsid w:val="206C5539"/>
    <w:rsid w:val="22FB2D4B"/>
    <w:rsid w:val="242A276F"/>
    <w:rsid w:val="26655804"/>
    <w:rsid w:val="29156242"/>
    <w:rsid w:val="2A5E59D0"/>
    <w:rsid w:val="2B76653F"/>
    <w:rsid w:val="2C5A30D3"/>
    <w:rsid w:val="2D1660E1"/>
    <w:rsid w:val="2D410011"/>
    <w:rsid w:val="2FC451BD"/>
    <w:rsid w:val="362E141E"/>
    <w:rsid w:val="3A3A65D5"/>
    <w:rsid w:val="3DB70507"/>
    <w:rsid w:val="407411EC"/>
    <w:rsid w:val="425C7366"/>
    <w:rsid w:val="44A8483E"/>
    <w:rsid w:val="45523B14"/>
    <w:rsid w:val="46E108A3"/>
    <w:rsid w:val="47924515"/>
    <w:rsid w:val="4EC314CC"/>
    <w:rsid w:val="54ED4E3E"/>
    <w:rsid w:val="572A51A8"/>
    <w:rsid w:val="58926C1E"/>
    <w:rsid w:val="59C251FE"/>
    <w:rsid w:val="5BA6050F"/>
    <w:rsid w:val="60916D0B"/>
    <w:rsid w:val="64452577"/>
    <w:rsid w:val="65BA56EF"/>
    <w:rsid w:val="670371ED"/>
    <w:rsid w:val="6BB13BA1"/>
    <w:rsid w:val="6E826E59"/>
    <w:rsid w:val="6FD16A39"/>
    <w:rsid w:val="729E3BC0"/>
    <w:rsid w:val="72D33CE0"/>
    <w:rsid w:val="737209BD"/>
    <w:rsid w:val="74062A83"/>
    <w:rsid w:val="78D03E33"/>
    <w:rsid w:val="79F7478A"/>
    <w:rsid w:val="7A5B5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Balloon Text"/>
    <w:basedOn w:val="1"/>
    <w:link w:val="31"/>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4"/>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spacing w:before="100" w:beforeAutospacing="1" w:after="100" w:afterAutospacing="1"/>
      <w:jc w:val="left"/>
    </w:pPr>
    <w:rPr>
      <w:rFonts w:cs="Times New Roman"/>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rPr>
  </w:style>
  <w:style w:type="character" w:customStyle="1" w:styleId="19">
    <w:name w:val="页眉 Char"/>
    <w:basedOn w:val="16"/>
    <w:link w:val="9"/>
    <w:qFormat/>
    <w:uiPriority w:val="99"/>
    <w:rPr>
      <w:sz w:val="18"/>
      <w:szCs w:val="18"/>
    </w:rPr>
  </w:style>
  <w:style w:type="character" w:customStyle="1" w:styleId="20">
    <w:name w:val="页脚 Char"/>
    <w:basedOn w:val="16"/>
    <w:link w:val="8"/>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Char"/>
    <w:basedOn w:val="16"/>
    <w:link w:val="14"/>
    <w:qFormat/>
    <w:uiPriority w:val="10"/>
    <w:rPr>
      <w:rFonts w:asciiTheme="majorHAnsi" w:hAnsiTheme="majorHAnsi" w:eastAsiaTheme="majorEastAsia" w:cstheme="majorBidi"/>
      <w:b/>
      <w:bCs/>
      <w:sz w:val="32"/>
      <w:szCs w:val="32"/>
    </w:rPr>
  </w:style>
  <w:style w:type="character" w:customStyle="1" w:styleId="23">
    <w:name w:val="标题 2 Char"/>
    <w:basedOn w:val="16"/>
    <w:link w:val="3"/>
    <w:qFormat/>
    <w:uiPriority w:val="9"/>
    <w:rPr>
      <w:rFonts w:asciiTheme="majorHAnsi" w:hAnsiTheme="majorHAnsi" w:eastAsiaTheme="majorEastAsia" w:cstheme="majorBidi"/>
      <w:b/>
      <w:bCs/>
      <w:sz w:val="32"/>
      <w:szCs w:val="32"/>
    </w:rPr>
  </w:style>
  <w:style w:type="character" w:customStyle="1" w:styleId="24">
    <w:name w:val="副标题 Char"/>
    <w:basedOn w:val="16"/>
    <w:link w:val="11"/>
    <w:qFormat/>
    <w:uiPriority w:val="11"/>
    <w:rPr>
      <w:b/>
      <w:bCs/>
      <w:kern w:val="28"/>
      <w:sz w:val="32"/>
      <w:szCs w:val="32"/>
    </w:rPr>
  </w:style>
  <w:style w:type="character" w:customStyle="1" w:styleId="25">
    <w:name w:val="标题 3 Char"/>
    <w:basedOn w:val="16"/>
    <w:link w:val="4"/>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Char"/>
    <w:basedOn w:val="16"/>
    <w:link w:val="2"/>
    <w:qFormat/>
    <w:uiPriority w:val="9"/>
    <w:rPr>
      <w:b/>
      <w:bCs/>
      <w:kern w:val="44"/>
      <w:sz w:val="44"/>
      <w:szCs w:val="44"/>
    </w:rPr>
  </w:style>
  <w:style w:type="paragraph" w:customStyle="1" w:styleId="2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29">
    <w:name w:val="标题 4 Char"/>
    <w:basedOn w:val="16"/>
    <w:link w:val="5"/>
    <w:qFormat/>
    <w:uiPriority w:val="9"/>
    <w:rPr>
      <w:rFonts w:asciiTheme="majorHAnsi" w:hAnsiTheme="majorHAnsi" w:eastAsiaTheme="majorEastAsia" w:cstheme="majorBidi"/>
      <w:b/>
      <w:bCs/>
      <w:sz w:val="28"/>
      <w:szCs w:val="28"/>
    </w:rPr>
  </w:style>
  <w:style w:type="paragraph" w:customStyle="1" w:styleId="30">
    <w:name w:val="闻政-正文段落文字"/>
    <w:basedOn w:val="1"/>
    <w:qFormat/>
    <w:uiPriority w:val="3"/>
    <w:pPr>
      <w:spacing w:line="500" w:lineRule="exact"/>
      <w:ind w:firstLine="200"/>
    </w:pPr>
    <w:rPr>
      <w:rFonts w:ascii="Times New Roman" w:hAnsi="Times New Roman" w:cs="Times New Roman"/>
      <w:szCs w:val="28"/>
    </w:rPr>
  </w:style>
  <w:style w:type="character" w:customStyle="1" w:styleId="31">
    <w:name w:val="批注框文本 Char"/>
    <w:basedOn w:val="16"/>
    <w:link w:val="7"/>
    <w:semiHidden/>
    <w:qFormat/>
    <w:uiPriority w:val="99"/>
    <w:rPr>
      <w:rFonts w:asciiTheme="minorHAnsi" w:hAnsiTheme="minorHAnsi" w:eastAsiaTheme="minorEastAsia" w:cstheme="minorBidi"/>
      <w:kern w:val="2"/>
      <w:sz w:val="18"/>
      <w:szCs w:val="18"/>
    </w:rPr>
  </w:style>
  <w:style w:type="paragraph" w:customStyle="1" w:styleId="32">
    <w:name w:val="WPSOffice手动目录 1"/>
    <w:qFormat/>
    <w:uiPriority w:val="0"/>
    <w:rPr>
      <w:rFonts w:ascii="Times New Roman" w:hAnsi="Times New Roman" w:eastAsia="宋体" w:cs="Times New Roman"/>
      <w:lang w:val="en-US" w:eastAsia="zh-CN" w:bidi="ar-SA"/>
    </w:rPr>
  </w:style>
  <w:style w:type="paragraph" w:customStyle="1" w:styleId="3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4">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C02A1-E0B3-46D8-B717-5CBCA2F9D74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8846</Words>
  <Characters>9429</Characters>
  <Lines>8</Lines>
  <Paragraphs>16</Paragraphs>
  <TotalTime>3</TotalTime>
  <ScaleCrop>false</ScaleCrop>
  <LinksUpToDate>false</LinksUpToDate>
  <CharactersWithSpaces>9512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2022-05-24T13:03:38Z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